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101_1017755143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Grade de aulas do CE Maria Eugênia tem novidades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O Centro Esportivo “Francisco Lisboa”, no bairro Maria Eugênia, oferece há vinte anos atividades direcionadas para a comunidade do bairro e região. A grade de aulas atualizada, divulgada na manhã desta quarta-feira (10), apresenta modalidades esportivas já realizadas regularmente e aulas em duas novas modalidades, cujas inscrições também estão abertas.</w:t>
            </w:r>
          </w:p>
          <w:p>
            <w:pPr>
              <w:pStyle w:val="Normal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A primeira novidade é a classe de basquete feminino, voltada à iniciação esportiva de meninas de 12 a 16 anos, uma vez que a unidade já possui aulas para o gênero masculino, frequentadas por mais de 30 garotos. A prática será às terças e quintas-feiras, das 9h30 às 11h30.</w:t>
            </w:r>
          </w:p>
          <w:p>
            <w:pPr>
              <w:pStyle w:val="Normal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Outra atração recém-chegada ao próprio do Maria Eugênia é a aula de ginástica artística, direcionada a crianças a partir de 5 anos. Entre ensaios, treinos, música e diversão, as atividades com bancos, traves e trampolins também auxiliam no desenvolvimento de força, flexibilidade e resistência, fatores fundamentais para a saúde. Ainda em fase de inscrição de alunos, contudo, os dias e horários ainda não estão definidos.</w:t>
            </w:r>
          </w:p>
          <w:p>
            <w:pPr>
              <w:pStyle w:val="Normal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Dentre as aulas existentes, a praça esportiva também oferece boxe, futebol, tênis, ginástica feminina, judô, voleibol e basquete. Ainda assim, a comunidade pode reservar a quadra poliesportiva e o campo para uso. O agendamento é feito sempre às segundas-feiras, no período da manhã. Já os espaços para prática de vôlei de praia, futebol de areia e futsal não necessitam de reserva.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Para participar das aulas dirigidas, os interessados devem ir ao centro esportivo portando documento de identidade; menores de 18 anos de idade precisam estar acompanhados por um responsável. O próprio municipal está localizado na Rua Dante Trevisan, 199, no bairro Maria Eugênia. Mais informações</w:t>
            </w: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pelo</w:t>
            </w:r>
            <w:r>
              <w:rPr>
                <w:rStyle w:val="LinkdaInternet"/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(15) 3226-3108.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Style w:val="LinkdaInternet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314</Words>
  <Characters>1788</Characters>
  <CharactersWithSpaces>2099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2016-08-10T14:09:38Z</dcterms:modified>
  <cp:revision>74</cp:revision>
  <dc:subject/>
  <dc:title/>
</cp:coreProperties>
</file>