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left"/>
              <w:rPr/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     </w:t>
            </w:r>
            <w:bookmarkStart w:id="0" w:name="__DdeLink__26_462105748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 xml:space="preserve">  </w:t>
            </w:r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Conselheiros tutelares recebem capacitação até sexta-feira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Teve início nesta segunda-feira (dia 22) a capacitação de 90 conselheiros tutelares de Sorocaba, 30 titulares e 60 suplentes, empossados para o quadriênio 2016/2019. Esta segunda etapa de formação continuada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até sexta-feira (dia 26), sempre das 8h30 às 12h30, no auditório da Biblioteca Municipal “Jorge Guilherme Senger”, no Alto da Boa Vista, com atividades de sensibilização, palestras, mesas-redondas e estudos de caso.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pelo Conselho Municipal dos Direitos da Criança e do Adolescente de Sorocaba (CMDCA), a formação atende à Resolução nº 170, de 10/12/2014 do Conselho Nacional dos Direitos da Criança e do Adolescente (Conanda) e visa capacitar estes profissionais para o pleno exercício da função no que se refere às garantias de direito, deveres, políticas de proteção básica e de assistência social, garantindo, assim, as prerrogativas constitucionais do Estatuto da Criança e do Adolescente (ECA).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Neste primeiro dia de curso o tema foi “Os marcos regulatórios da Proteção Integral à Infância, a Juventude e o ECA - Medidas Socioeducativas”. Para isso, a Secretaria de Desenvolvimento Social (Sedes) apresentou os serviços oferecidos pelo município, como atuam, qual o fluxo de atendimento seguido pela rede e qual o papel de cada profissional da equipe, quando o Conselho Tutelar é acionado.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o CMDCA, os conselheiros tutelares ainda vão ser capacitados nos seguintes temas até sexta-feira: o ECA e o Ato Infracional (Fundação Casa) e O papel do Conselho Tutelar; Desafios para a Intervenção interdisciplinar e intersetorial dos Conselhos Tutelares na Garantia dos Direitos; Mediação de Conflitos; e Defesa dos Direitos Fundamentais.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>Devido à capacitação, o atendimento no Conselho Tutelar de Sorocaba está sendo realizado em sistema de plantão, das 8h às 14h, até sexta-feira (26). As ocorrências nesse horário serão atendidas pelo telefone (15) 3235.1212. De acordo com o CMDCA, o serviço não será prejudicado e o atendimento presencial ocorrerá normalmente entre 14h e 17h.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color w:val="00000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u w:val="none"/>
              </w:rPr>
              <w:t>A sede do Conselho Tutelar está localizada na Rua Líbero Badaró, 171, no Vergueiro, junto à Coordenadoria da Criança e do Adolescente e o CMDCA.</w:t>
            </w:r>
          </w:p>
          <w:p>
            <w:pPr>
              <w:pStyle w:val="Corpodetexto"/>
              <w:spacing w:lineRule="auto" w:line="276" w:before="0" w:after="120"/>
              <w:ind w:left="0" w:right="0" w:firstLine="567"/>
              <w:jc w:val="both"/>
              <w:rPr>
                <w:rStyle w:val="LinkdaInternet"/>
                <w:rFonts w:ascii="Verdana" w:hAnsi="Verdana" w:cs="Verdana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;sans-serif" w:hAnsi="Verdana;sans-serif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FF"/>
                  <w:sz w:val="20"/>
                  <w:szCs w:val="20"/>
                  <w:u w:val="single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LibreOffice/5.1.4.2$Windows_x86 LibreOffice_project/f99d75f39f1c57ebdd7ffc5f42867c12031db97a</Application>
  <Pages>2</Pages>
  <Words>372</Words>
  <Characters>2153</Characters>
  <CharactersWithSpaces>2525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2016-08-22T14:55:16Z</dcterms:modified>
  <cp:revision>82</cp:revision>
  <dc:subject/>
  <dc:title/>
</cp:coreProperties>
</file>