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center"/>
              <w:rPr>
                <w:rFonts w:ascii="Verdana" w:hAnsi="Verdana" w:eastAsia="Verdana" w:cs="Arial"/>
                <w:b/>
                <w:b/>
                <w:bCs/>
                <w:color w:val="000000"/>
                <w:spacing w:val="0"/>
                <w:sz w:val="16"/>
                <w:szCs w:val="16"/>
                <w:highlight w:val="white"/>
              </w:rPr>
            </w:pPr>
            <w:bookmarkStart w:id="0" w:name="__DdeLink__30_835498577"/>
            <w:bookmarkEnd w:id="0"/>
            <w:r>
              <w:rPr>
                <w:rStyle w:val="LinkdaInternet"/>
                <w:rFonts w:eastAsia="Verdana" w:cs="Arial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SES alerta sobre cuidados contra a meningite bacteriana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Nesta época do ano, muito se fala sobre a importância dos cuidados com as doenças de transmissão respiratória. Não se comenta numa mesma proporção, porém, sobre a meningite, uma grave enfermidade que pode levar à morte. Nesse sentido, a Secretaria da Saúde de Sorocaba (SES) alerta a população para medidas simples, semelhantes às que previnem a gripe, por exemplo, e que também são úteis para evitar a meningite.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No caso da meningite bacteriana, a mais grave, a doença pode ser transmitida por espirros, tosse, saliva, bem como pelo compartilhamento de talheres e copos, entre outras formas. Para ocorrer o contágio, basta que o responsável por transmiti-la tenha em seu organismo a bactéria </w:t>
            </w:r>
            <w:r>
              <w:rPr>
                <w:rFonts w:ascii="Verdana" w:hAnsi="Verdana"/>
                <w:i/>
                <w:color w:val="000000"/>
                <w:sz w:val="22"/>
                <w:szCs w:val="22"/>
              </w:rPr>
              <w:t xml:space="preserve">Neisséria meningitidis,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mais conhecida como meningococo, ou a bactéria </w:t>
            </w:r>
            <w:r>
              <w:rPr>
                <w:rFonts w:ascii="Verdana" w:hAnsi="Verdana"/>
                <w:i/>
                <w:color w:val="000000"/>
                <w:sz w:val="22"/>
                <w:szCs w:val="22"/>
              </w:rPr>
              <w:t>Haemophilus influenzae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, popularmente chamada de Hib.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Segundo a Divisão de Vigilância Epidemiológica (DVE) da Secretaria da Saúde as medidas preventivas à doença são cobrir o nariz e a boca quando espirrar ou tossir; lavar as mãos com frequência com água e sabão, ou álcool em gel; não compartilhar copos, talheres e alimentos e não levar as mãos à boca e olhos. Além disso, o quanto for possível, evitar aglomerações e locais pouco arejados.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paciente com meningite apresenta, entre outros sintomas, febre alta, dor de cabeça, indisposição, vômitos e rigidez na nuca. Em crianças, febre, irritação, choro constante e abaulamento da “moleira”, sem necessariamente rigidez na nuca. Se não tratada rapidamente, a doença – principalmente a bacteriana, que é mais preocupante - pode desencadear confusão mental, coma e óbito.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Além da bacteriana, a doença pode ser manifestada por vírus, fungos, lesão física, neoplasias ou certas drogas. Conforme a Vigilância Epidemiológica, a patologia caracteriza-se pela inflamação das meninges, membranas que envolvem o encéfalo (cérebro, bulbo e cerebelo) e a medula espinhal. No caso das transmissões que não sejam por bactérias, não há tratamento específico. Nestas situações, há apenas acompanhamento da inflamação.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Em 2016, até o dia 19 de julho, Sorocaba registrou 45 casos e teve um óbito causado por meningite na cidade. Os números mostram uma tendência de diminuição no comparativo a anos anteriores: em 2015 todo, por exemplo, foram 125 registros confirmados da doença e 10 mortes; em 2014, 135 e 12, respectivamente. Na série histórica 2010-2016, a maior quantidade de casos (158) foi observada em 2013, ano em que também foram contabilizados mais óbitos pela doença: 19.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Assim que o caso de meningite bacteriana é confirmado, se inicia um processo de “bloqueio medicamentoso”, para evitar a disseminação da doença. Pessoas muito próximas ao doente, então, também são tratadas com antibióticos. 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Style w:val="LinkdaInternet"/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Esdras Pereira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efcampos</w:t>
              </w:r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Normal"/>
              <w:rPr/>
            </w:pPr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Supervisão de Eduardo Santinon -  esantinon@sorocaba.sp.gov.br</w:t>
            </w:r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3238-24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67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f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LibreOffice/5.1.4.2$Windows_x86 LibreOffice_project/f99d75f39f1c57ebdd7ffc5f42867c12031db97a</Application>
  <Pages>2</Pages>
  <Words>467</Words>
  <Characters>2650</Characters>
  <CharactersWithSpaces>3110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2016-07-27T17:08:17Z</dcterms:modified>
  <cp:revision>71</cp:revision>
  <dc:subject/>
  <dc:title/>
</cp:coreProperties>
</file>