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200"/>
              <w:jc w:val="center"/>
              <w:rPr>
                <w:sz w:val="24"/>
                <w:szCs w:val="24"/>
              </w:rPr>
            </w:pPr>
            <w:bookmarkStart w:id="0" w:name="__DdeLink__172_2091566067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 xml:space="preserve">Encerradas </w:t>
            </w:r>
            <w:bookmarkEnd w:id="0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>inscrições para o projeto “Férias no museu”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ab/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Secretaria da Cultura de Sorocaba (Secult)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informa que já estão esgotadas as vagas para o projeto “Férias no Museu”, que vai realizar duas atividades no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Museu Histórico Sorocabano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(MHS) nos dias 21 e 22 de julho. 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ab/>
              <w:t xml:space="preserve">Para melhor adequar o atendimento ao público foram invertidas as datas de realização das atividades. O Cine Bonde que seria no dia 21 (quinta), passou para o dia 22 (sexta) e Brincadeiras Antigas foi antecipado de 22 (sexta) para 21 (quinta). 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>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projeto Brincadeiras Antigas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vai proporcionar muita diversão para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25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c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rianças de 7 a 12 anos,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que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vão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experimentar uma série de brincadeiras “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do tempo da vovó”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como: telefone sem fio, pega-pega entre outras. 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No Cine Bonde 20 participantes poderão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assistir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“As aventuras de Tintim”, uma produção de 2012, dirigida por Steven Spielberg,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dentro do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bondinho datado de 1901, que faz parte do acervo do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MHS.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O Museu Histórico Sorocabano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(MHS)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fica Rua Teodoro Kaisel, s/nº, na Vila Hortência – instalado na área do Parque Zoológico Municipal “Quinzinho de Barros”.</w:t>
            </w:r>
          </w:p>
          <w:p>
            <w:pPr>
              <w:pStyle w:val="Normal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146685</wp:posOffset>
                      </wp:positionV>
                      <wp:extent cx="5499735" cy="317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90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55pt" to="432.95pt,11.5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Laura Vieira    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</w:rPr>
                <w:t>lauravieira@sorocaba.sp.gov.br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br/>
              <w:t xml:space="preserve">Telefone: 3238 2491. 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itle"/>
    <w:basedOn w:val="Ttulo"/>
    <w:next w:val="Corpodetext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LibreOffice/5.1.4.2$Windows_x86 LibreOffice_project/f99d75f39f1c57ebdd7ffc5f42867c12031db97a</Application>
  <Pages>1</Pages>
  <Words>208</Words>
  <Characters>1162</Characters>
  <CharactersWithSpaces>1378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2016-07-19T13:59:13Z</dcterms:modified>
  <cp:revision>65</cp:revision>
  <dc:subject/>
  <dc:title/>
</cp:coreProperties>
</file>