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1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center"/>
              <w:rPr>
                <w:rFonts w:ascii="Verdana" w:hAnsi="Verdana" w:cs="Verdana"/>
                <w:b/>
                <w:b/>
                <w:sz w:val="24"/>
                <w:szCs w:val="24"/>
              </w:rPr>
            </w:pPr>
            <w:r>
              <w:rPr>
                <w:rFonts w:cs="Verdana" w:ascii="Verdana" w:hAnsi="Verdana"/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76" w:before="0" w:after="200"/>
              <w:jc w:val="center"/>
              <w:rPr>
                <w:rFonts w:ascii="Verdana" w:hAnsi="Verdana" w:cs="Verdana"/>
                <w:b/>
                <w:b/>
                <w:sz w:val="24"/>
                <w:szCs w:val="24"/>
              </w:rPr>
            </w:pPr>
            <w:bookmarkStart w:id="0" w:name="__DdeLink__25_1668764894"/>
            <w:r>
              <w:rPr>
                <w:rFonts w:cs="Verdana" w:ascii="Verdana" w:hAnsi="Verdana"/>
                <w:b/>
                <w:sz w:val="24"/>
                <w:szCs w:val="24"/>
              </w:rPr>
              <w:t xml:space="preserve">3ª Semana do Bebê começa </w:t>
            </w:r>
            <w:bookmarkEnd w:id="0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>na próxima segunda-feira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  <w:p>
            <w:pPr>
              <w:pStyle w:val="NormalWeb"/>
              <w:shd w:fill="FFFFFF" w:val="clear"/>
              <w:spacing w:lineRule="atLeast" w:line="300" w:before="0" w:after="150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abertura oficial da 3ª Semana do Bebê está confirmada para as 9h da próxima segunda-feira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dia 13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, no auditório da Fundec </w:t>
            </w:r>
            <w:r>
              <w:rPr>
                <w:rFonts w:cs="Verdana" w:ascii="Verdana" w:hAnsi="Verdana"/>
                <w:sz w:val="22"/>
                <w:szCs w:val="22"/>
              </w:rPr>
              <w:t>que fica na r</w:t>
            </w:r>
            <w:r>
              <w:rPr>
                <w:rFonts w:cs="Verdana" w:ascii="Verdana" w:hAnsi="Verdana"/>
                <w:sz w:val="22"/>
                <w:szCs w:val="22"/>
              </w:rPr>
              <w:t>ua Brigadeiro Tobias, 73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no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Centro. Com o tema “Todos juntos pela Primeira Infância”, as atividades prosseguem até 19 de junho e têm como objetivo a conscientização sobre os direitos e a importância do desenvolvimento de crianças de zero a seis anos. A Semana do bebê é uma estratégia de mobilização social apoiada pelo </w:t>
            </w: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>Fundo das Nações Unidas para a Infância (Unicef).</w:t>
            </w:r>
          </w:p>
          <w:p>
            <w:pPr>
              <w:pStyle w:val="NormalWeb"/>
              <w:shd w:fill="FFFFFF" w:val="clear"/>
              <w:spacing w:lineRule="atLeast" w:line="300" w:before="0" w:after="150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 abertura solene conta com as presenças de autoridades, educadores, profissionais de diversas áreas e pais. Na ocasião, haverá apresentação do coral de crianças do Projeto Guri, que participam </w:t>
            </w: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>de cursos de iniciação musical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  <w:shd w:fill="FFFFFF" w:val="clear"/>
              </w:rPr>
              <w:t xml:space="preserve">nos períodos de contraturno escolar. </w:t>
            </w:r>
          </w:p>
          <w:p>
            <w:pPr>
              <w:pStyle w:val="NormalWeb"/>
              <w:shd w:fill="FFFFFF" w:val="clear"/>
              <w:spacing w:lineRule="atLeast" w:line="300" w:before="0" w:after="150"/>
              <w:ind w:left="0" w:right="0" w:firstLine="708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 xml:space="preserve">Ao longo da semana, o público terá acesso a diversas atividades nas Unidades Básicas de Saúde, Cras, Creas e Centro de Referência em Educação (CRE), entre outros espaços. Estão programadas palestras, debates, exibição de filmes, oficinas, contação de histórias, orientações, atividades artísticas e culturais, entre outras. As atividades são dirigidas para mães, gestantes, crianças, profissionais e público interessado. </w:t>
            </w:r>
          </w:p>
          <w:p>
            <w:pPr>
              <w:pStyle w:val="NormalWeb"/>
              <w:shd w:fill="FFFFFF" w:val="clear"/>
              <w:spacing w:lineRule="atLeast" w:line="300" w:before="0" w:after="150"/>
              <w:ind w:left="0" w:right="0" w:firstLine="708"/>
              <w:jc w:val="both"/>
              <w:rPr/>
            </w:pPr>
            <w:r>
              <w:rPr>
                <w:rFonts w:cs="Verdana" w:ascii="Verdana" w:hAnsi="Verdana"/>
                <w:sz w:val="22"/>
                <w:szCs w:val="22"/>
              </w:rPr>
              <w:t>A programação completa pode ser acessada no site:</w:t>
            </w:r>
            <w:r>
              <w:rPr>
                <w:rStyle w:val="Appleconvertedspace"/>
                <w:rFonts w:cs="Verdana" w:ascii="Verdana" w:hAnsi="Verdana"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cs="Verdana" w:ascii="Verdana" w:hAnsi="Verdana"/>
                  <w:color w:val="000000"/>
                  <w:sz w:val="22"/>
                  <w:szCs w:val="22"/>
                  <w:u w:val="none"/>
                </w:rPr>
                <w:t>primeirainfancia.sorocaba.sp.gov.br</w:t>
              </w:r>
            </w:hyperlink>
            <w:r>
              <w:rPr>
                <w:rStyle w:val="LinkdaInternet"/>
                <w:rFonts w:cs="Verdana" w:ascii="Verdana" w:hAnsi="Verdana"/>
                <w:color w:val="000000"/>
                <w:sz w:val="22"/>
                <w:szCs w:val="22"/>
                <w:u w:val="none"/>
              </w:rPr>
              <w:t xml:space="preserve"> </w:t>
            </w:r>
            <w:r>
              <w:rPr>
                <w:rFonts w:cs="Verdana" w:ascii="Verdana" w:hAnsi="Verdana"/>
                <w:sz w:val="22"/>
                <w:szCs w:val="22"/>
              </w:rPr>
              <w:t>Todas as atividades são gratuitas, abertas ao público e algumas delas precisam de inscrição prévia.</w:t>
            </w:r>
          </w:p>
          <w:p>
            <w:pPr>
              <w:pStyle w:val="NormalWeb"/>
              <w:shd w:fill="FFFFFF" w:val="clear"/>
              <w:spacing w:lineRule="atLeast" w:line="300" w:before="0" w:after="150"/>
              <w:ind w:left="0" w:right="0" w:firstLine="708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>A Semana do Bebê é uma ação realizada pelo Comitê Municipal pela Primeira Infância, formado por representantes das secretarias municipais, Fundo Social de Solidariedade, organizações não governamentais, serviços de acolhimento, serviços de convivência e fortalecimento de vínculos, conselho tutelar, universidades e do Conselho Municipal da Criança e do Adolescente (CMDCA).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592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4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6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  <w:t xml:space="preserve">Marina Janour - </w:t>
            </w:r>
            <w:hyperlink r:id="rId3">
              <w:r>
                <w:rPr>
                  <w:rStyle w:val="LinkdaInternet"/>
                  <w:rFonts w:cs="Verdana" w:ascii="Verdana" w:hAnsi="Verdana"/>
                  <w:b/>
                  <w:bCs/>
                  <w:i w:val="false"/>
                  <w:iCs w:val="false"/>
                  <w:color w:val="000000"/>
                  <w:sz w:val="20"/>
                  <w:szCs w:val="20"/>
                </w:rPr>
                <w:t>mjabur@sorocaba.sp.gov.br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</w:rPr>
              <w:t>Telefone: 3238.2519</w:t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bCs/>
                <w:i w:val="false"/>
                <w:i w:val="false"/>
                <w:iCs w:val="false"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orocaba.sp.gov.br/semanadobebe" TargetMode="External"/><Relationship Id="rId3" Type="http://schemas.openxmlformats.org/officeDocument/2006/relationships/hyperlink" Target="mailto:mjabur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2016-06-08T10:59:09Z</dcterms:modified>
  <cp:revision>58</cp:revision>
</cp:coreProperties>
</file>