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jc w:val="center"/>
              <w:rPr>
                <w:sz w:val="24"/>
                <w:szCs w:val="24"/>
              </w:rPr>
            </w:pPr>
            <w:bookmarkStart w:id="0" w:name="__DdeLink__24_2068397655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Licitação para</w:t>
            </w:r>
            <w:r>
              <w:rPr>
                <w:rFonts w:eastAsia="Verdana" w:cs="Verdana"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reforma de unidades do CRAS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1" w:name="__DdeLink__24_2068397655"/>
            <w:bookmarkEnd w:id="1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gera economia de 13% aos cofres públicos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A Prefeitura de Sorocaba, por meio da Secretaria da Administração (Sead), divulgou nesta terça-feira 24 a ata de análise e julgamento das propostas de preço para reforma de quatro Centros de Referência e Assistência Social (Cras). O menor valor apresentado foi de R$ 612.885,09, o que representa uma economia de R$ 13,16% aos cofres públicos. O valor inicial na abertura da Licitação para realização do serviço era de R$ 707.466,27.</w:t>
            </w:r>
          </w:p>
          <w:p>
            <w:pPr>
              <w:pStyle w:val="Normal"/>
              <w:snapToGrid w:val="false"/>
              <w:spacing w:lineRule="auto" w:line="276"/>
              <w:ind w:left="0" w:right="0" w:firstLine="90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Vão receber melhorias as unidades dos bairros Nova Esperança, Brigadeiro Tobias, Vila Helena e Aparecidinha. O processo licitatório teve início no dia 29 de abril e representantes de quatro empresas entregaram os envelopes de habilitação (documentos) e proposta (preço), na Divisão de Licitação da Sead. No dia 6 de maio, após análise, três empresas foram habilitadas: C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asagrande Prestadora de Serviços e Construções Ltda. (R$ 612.885,09), Obra Nobre Construtora Ltda. (R$ 614.764,40) e Sanit Engenharia - Eireli (R$ 648.704,37).</w:t>
            </w:r>
          </w:p>
          <w:p>
            <w:pPr>
              <w:pStyle w:val="Normal"/>
              <w:snapToGrid w:val="false"/>
              <w:spacing w:lineRule="auto" w:line="276"/>
              <w:ind w:left="0" w:right="0" w:firstLine="90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Nos termos da Lei de Licitações (8.666/93), a Comissão de Permanente de Licitações da Sead abriu prazo de cinco dias úteis para eventuais recursos das outras empresas participantes. </w:t>
            </w:r>
            <w:r>
              <w:rPr>
                <w:rFonts w:cs="Verdana;sans-serif" w:ascii="Verdana" w:hAnsi="Verdana"/>
                <w:b w:val="false"/>
                <w:bCs w:val="false"/>
                <w:color w:val="000000"/>
                <w:sz w:val="22"/>
                <w:szCs w:val="22"/>
              </w:rPr>
              <w:t>Após a assinatura de contrato e emissão da ordem de serviço, o prazo para conclusão dos serviços será de 180 dias. Depois de concluídas as reformas, as obras terão garantia de cinco anos contra defeitos que comprometam a qualidade, durabilidade e segurança dos usuários das unidades do Cras.</w:t>
            </w:r>
          </w:p>
          <w:p>
            <w:pPr>
              <w:pStyle w:val="Normal"/>
              <w:snapToGrid w:val="false"/>
              <w:spacing w:lineRule="auto" w:line="276" w:before="0" w:after="0"/>
              <w:ind w:left="0" w:right="0" w:firstLine="90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Em cada unidade estão previstos os seguintes serviços: troca de esquadrias de ferro e madeira; melhoria dos forros e telhados; substituição de pisos externos e internos; pintura e manutenção nas redes hidráulica e elétrica. Os recursos utilizados nas obras são provenientes de emenda federal da ex-deputada federal Iara Bernardi e o início das reformas e pagamentos vão depender ainda de prévia autorização da Caixa Econômica Federal (CEF).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144145</wp:posOffset>
                      </wp:positionV>
                      <wp:extent cx="549402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2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05pt,11.35pt" to="432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Pedro Guerra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pguerra@sorocaba.sp.gov.br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2016-05-25T12:23:27Z</dcterms:modified>
  <cp:revision>55</cp:revision>
</cp:coreProperties>
</file>