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/>
                <w:b w:val="false"/>
                <w:bCs w:val="false"/>
                <w:color w:val="000000"/>
                <w:sz w:val="24"/>
                <w:szCs w:val="24"/>
              </w:rPr>
            </w:pPr>
            <w:bookmarkStart w:id="0" w:name="__DdeLink__25_1868409733"/>
            <w:bookmarkEnd w:id="0"/>
            <w:r>
              <w:rPr>
                <w:rFonts w:ascii="Verdana" w:hAnsi="Verdana"/>
                <w:b/>
                <w:bCs w:val="false"/>
                <w:color w:val="000000"/>
                <w:sz w:val="24"/>
                <w:szCs w:val="24"/>
              </w:rPr>
              <w:t>Grupo de corrida da Semes estreia em provas de montanha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O próximo sábado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dia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14 será de grandes desafios para alunos do grupo de corrida de rua da Prefeitura de Sorocaba. Os atletas participa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m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da edição noturna da prova “O Rei da Montanha”, a partir das 19h30, em Mogi das Cruzes (SP).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Entre percursos de 3, 7, 14 e 21 quilômetros, o evento reunirá corredores de todo o Estado de São Paulo em terreno acidentado, iniciando aos 667 metros do nível do mar e enfrentando subidas íngremes, com picos de até 815 metros de altitude.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 competição marca a estreia da equipe sorocabana em provas montanhosas. É o caso da aluna Maria Grazziela Sanches, 33 anos, frequentadora do grupo há três meses. Na expectativa, a auxiliar administrativa vai testar o limite no trajeto de 7 km.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As atividades do grupo de corrida de rua da Prefeitura de Sorocaba são desenvolvidas desde outubro de 2015. Realizadas duas vezes por semana por técnicos da Secretaria de Esporte e Lazer (Semes) e voltadas para pessoas de todas as idades, as classes oferecem avaliações físicas e assessoria de preparo, tanto para provas quanto as práticas casuais.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57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Como diferencial, o grupo de corrida de rua utiliza o treinamento individualizado, onde cada aluno tem um programa preparado de forma específica, de acordo com o nível do atleta, limitações e objetivo.</w:t>
            </w:r>
          </w:p>
          <w:p>
            <w:pPr>
              <w:pStyle w:val="Corpodetexto"/>
              <w:spacing w:lineRule="auto" w:line="276" w:before="57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57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Para ingressar ao grupo, os interessados devem comparecer ao Parque das Águas, às terças e quintas-feiras, das 19h às 20h, ou aos sábados, das 7h30 às 9h, efetuando cadastro e avaliação física.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144145</wp:posOffset>
                      </wp:positionV>
                      <wp:extent cx="549148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07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11.35pt" to="432.0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 xml:space="preserve">Roberto Menna – 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single"/>
              </w:rPr>
              <w:t>trmenna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spacing w:lineRule="auto" w:line="276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  <w:t>Telefone: 3238-2294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2016-05-12T15:57:25Z</dcterms:modified>
  <cp:revision>52</cp:revision>
</cp:coreProperties>
</file>