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</w:pPr>
            <w:r>
              <w:rPr>
                <w:rFonts w:ascii="Verdana" w:hAnsi="Verdana"/>
                <w:b/>
                <w:color w:val="000000"/>
                <w:sz w:val="28"/>
                <w:szCs w:val="22"/>
              </w:rPr>
              <w:t>Ban</w:t>
            </w:r>
            <w:bookmarkStart w:id="0" w:name="_GoBack"/>
            <w:bookmarkEnd w:id="0"/>
            <w:r>
              <w:rPr>
                <w:rFonts w:ascii="Verdana" w:hAnsi="Verdana"/>
                <w:b/>
                <w:color w:val="000000"/>
                <w:sz w:val="28"/>
                <w:szCs w:val="22"/>
              </w:rPr>
              <w:t>cos vão ter que entregar à Prefeitura declaração Eletrônica de Serviços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rFonts w:ascii="Verdana;sans-serif" w:hAnsi="Verdana;sans-serif" w:eastAsia="Arial Unicode MS" w:cs="Times New Roman"/>
                <w:color w:val="000000"/>
                <w:lang w:val="pt-BR" w:eastAsia="zh-CN" w:bidi="ar-SA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  <w:r/>
          </w:p>
          <w:p>
            <w:pPr>
              <w:pStyle w:val="Normal"/>
              <w:ind w:hanging="0"/>
              <w:jc w:val="both"/>
            </w:pPr>
            <w:r>
              <w:rPr>
                <w:rFonts w:ascii="Verdana" w:hAnsi="Verdana"/>
                <w:sz w:val="24"/>
              </w:rPr>
              <w:t xml:space="preserve">Os bancos que atuam no município vão passar a entregar à Prefeitura de Sorocaba a </w:t>
            </w:r>
            <w:bookmarkStart w:id="1" w:name="__DdeLink__533_2064244518"/>
            <w:r>
              <w:rPr>
                <w:rFonts w:ascii="Verdana" w:hAnsi="Verdana"/>
                <w:sz w:val="24"/>
              </w:rPr>
              <w:t>Declaração Eletrônica de Serviços de Instituições Financeiras</w:t>
            </w:r>
            <w:bookmarkEnd w:id="1"/>
            <w:r>
              <w:rPr>
                <w:rFonts w:ascii="Verdana" w:hAnsi="Verdana"/>
                <w:sz w:val="24"/>
              </w:rPr>
              <w:t>. A medida é em cumprimento à Lei 11.230, de 4 de dezembro de 2015, que torna a administração tributária mais eficaz e com a possibilidade de ampliar a arrecadação sem onerar os contribuintes.</w:t>
            </w:r>
            <w:r/>
          </w:p>
          <w:p>
            <w:pPr>
              <w:pStyle w:val="Normal"/>
              <w:ind w:hanging="0"/>
              <w:jc w:val="both"/>
            </w:pPr>
            <w:r>
              <w:rPr>
                <w:rFonts w:ascii="Verdana" w:hAnsi="Verdana"/>
                <w:sz w:val="24"/>
              </w:rPr>
              <w:t xml:space="preserve">O secretário da Fazenda Aurílio Caiado explica que, até então, a cobrança do Imposto Sobre Serviços de Qualquer Natureza, </w:t>
            </w:r>
            <w:r>
              <w:rPr>
                <w:rFonts w:ascii="Verdana" w:hAnsi="Verdana"/>
                <w:sz w:val="24"/>
              </w:rPr>
              <w:t xml:space="preserve">o </w:t>
            </w:r>
            <w:r>
              <w:rPr>
                <w:rFonts w:ascii="Verdana" w:hAnsi="Verdana"/>
                <w:sz w:val="24"/>
              </w:rPr>
              <w:t>ISSQN, incidente nos serviços desempenhados pelos bancos ocorria por declaração, ou seja, a instituição declarava quanto deveria pagar e só depois a secretaria auditava. Devido à complexidade e especificidades da contabilidade bancária, a apuração de inconsistências e diferenças era excessivamente demorada e, muitas vezes, com difíceis parâmetros de checagem.</w:t>
            </w:r>
            <w:r/>
          </w:p>
          <w:p>
            <w:pPr>
              <w:pStyle w:val="Normal"/>
              <w:ind w:hanging="0"/>
              <w:jc w:val="both"/>
            </w:pPr>
            <w:r>
              <w:rPr>
                <w:rFonts w:ascii="Verdana" w:hAnsi="Verdana"/>
                <w:sz w:val="24"/>
              </w:rPr>
              <w:t>Segundo o secret</w:t>
            </w:r>
            <w:r>
              <w:rPr>
                <w:rFonts w:ascii="Verdana" w:hAnsi="Verdana"/>
                <w:sz w:val="24"/>
              </w:rPr>
              <w:t>á</w:t>
            </w:r>
            <w:r>
              <w:rPr>
                <w:rFonts w:ascii="Verdana" w:hAnsi="Verdana"/>
                <w:sz w:val="24"/>
              </w:rPr>
              <w:t>rio da fazenda, esse aprimoramento pertence ao conjunto de ações de melhoria da gestão fiscal para a ampliação da arrecadação municipal, sem aumentar alíquota de imposto.</w:t>
            </w:r>
            <w:r/>
          </w:p>
          <w:p>
            <w:pPr>
              <w:pStyle w:val="Normal"/>
              <w:spacing w:lineRule="auto" w:line="276" w:before="0" w:after="0"/>
              <w:ind w:hanging="0"/>
              <w:jc w:val="both"/>
            </w:pPr>
            <w:r>
              <w:rPr>
                <w:rFonts w:ascii="Verdana" w:hAnsi="Verdana"/>
                <w:sz w:val="24"/>
                <w:szCs w:val="22"/>
              </w:rPr>
              <w:t>Após a regulamentação do artigo da Lei que estabeleceu o novo procedimento, cuja instrução normativa vai ser publicada até a próxima semana, as instituições financeiras terão que encaminhar à SEF cópia da Declaração Eletrônica de Serviços de Instituições Financeiras. Essa exigência amplia o controle sobre os serviços prestados por elas, passíveis de cobrança do ISSQN e, provavelmente, vai ampliar a arrecadação.</w:t>
            </w:r>
            <w:r/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;sans-serif" w:hAnsi="Verdana;sans-serif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144145</wp:posOffset>
                      </wp:positionV>
                      <wp:extent cx="549275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1.35pt" to="432.2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spacing w:lineRule="auto" w:line="360" w:before="0" w:after="0"/>
              <w:jc w:val="both"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</w:r>
            <w:r/>
          </w:p>
          <w:p>
            <w:pPr>
              <w:pStyle w:val="Corpodetexto"/>
              <w:spacing w:lineRule="auto" w:line="360" w:before="0" w:after="0"/>
              <w:jc w:val="both"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  <w:r/>
          </w:p>
          <w:p>
            <w:pPr>
              <w:pStyle w:val="Corpodetexto"/>
              <w:spacing w:before="0" w:after="0"/>
              <w:rPr>
                <w:sz w:val="20"/>
                <w:b/>
                <w:sz w:val="20"/>
                <w:b/>
                <w:rFonts w:ascii="Verdana;sans-serif" w:hAnsi="Verdana;sans-serif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  <w:r/>
          </w:p>
          <w:p>
            <w:pPr>
              <w:pStyle w:val="Normal"/>
              <w:spacing w:lineRule="auto" w:line="36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2016-05-19T10:11:15Z</dcterms:modified>
  <cp:revision>53</cp:revision>
</cp:coreProperties>
</file>