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0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4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/>
              <w:jc w:val="center"/>
              <w:rPr>
                <w:sz w:val="24"/>
                <w:szCs w:val="24"/>
              </w:rPr>
            </w:pPr>
            <w:bookmarkStart w:id="0" w:name="__DdeLink__168_298610760"/>
            <w:r>
              <w:rPr>
                <w:rFonts w:cs="Arial" w:ascii="Verdana" w:hAnsi="Verdana"/>
                <w:b/>
                <w:sz w:val="24"/>
                <w:szCs w:val="24"/>
                <w:shd w:fill="FFFFFF" w:val="clear"/>
              </w:rPr>
              <w:t>Prefeitura encaminha para protesto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Verdana;sans-serif" w:hAnsi="Verdana;sans-serif"/>
                <w:b/>
                <w:sz w:val="24"/>
                <w:szCs w:val="24"/>
              </w:rPr>
            </w:pPr>
            <w:bookmarkStart w:id="1" w:name="__DdeLink__168_298610760"/>
            <w:bookmarkEnd w:id="1"/>
            <w:r>
              <w:rPr>
                <w:rFonts w:cs="Arial" w:ascii="Verdana" w:hAnsi="Verdana"/>
                <w:b/>
                <w:color w:val="000000"/>
                <w:sz w:val="24"/>
                <w:szCs w:val="24"/>
                <w:u w:val="none"/>
                <w:shd w:fill="FFFFFF" w:val="clear"/>
              </w:rPr>
              <w:t>mais de 500 títulos de devedores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</w:r>
          </w:p>
          <w:p>
            <w:pPr>
              <w:pStyle w:val="Normal"/>
              <w:spacing w:lineRule="auto" w:line="240"/>
              <w:jc w:val="both"/>
              <w:rPr/>
            </w:pPr>
            <w:r>
              <w:rPr>
                <w:rFonts w:cs="Arial" w:ascii="Verdana" w:hAnsi="Verdana"/>
                <w:sz w:val="24"/>
                <w:szCs w:val="24"/>
                <w:shd w:fill="FFFFFF" w:val="clear"/>
              </w:rPr>
              <w:tab/>
            </w:r>
            <w:r>
              <w:rPr>
                <w:rFonts w:cs="Arial" w:ascii="Verdana" w:hAnsi="Verdana"/>
                <w:sz w:val="22"/>
                <w:szCs w:val="22"/>
                <w:shd w:fill="FFFFFF" w:val="clear"/>
              </w:rPr>
              <w:t>Mais de 500 títulos de devedores inscritos em Dívida Ativa foram encaminhados ao Cartório de Protestos de Sorocaba neste mês de abril. A ação é desenvolvida pela Prefeitura de Sorocaba, por meio das secretarias de Negócios Jurídicos (SEJ) e da Fazenda (SEF).</w:t>
            </w:r>
          </w:p>
          <w:p>
            <w:pPr>
              <w:pStyle w:val="Normal"/>
              <w:spacing w:lineRule="auto" w:line="240"/>
              <w:jc w:val="both"/>
              <w:rPr>
                <w:sz w:val="22"/>
                <w:szCs w:val="22"/>
              </w:rPr>
            </w:pPr>
            <w:r>
              <w:rPr>
                <w:rFonts w:cs="Arial" w:ascii="Verdana" w:hAnsi="Verdana"/>
                <w:sz w:val="22"/>
                <w:szCs w:val="22"/>
                <w:shd w:fill="FFFFFF" w:val="clear"/>
              </w:rPr>
              <w:tab/>
              <w:t>Os lotes são encaminhados ao cartório no período de 1º a 15 de cada mês. Nesta sexta-feira (15), a SEJ completa a primeira remessa enviada, totalizando 525 títulos, o que resulta num valor aproximado de R$ 380 mil. A expectativa para os próximos meses é que sejam encaminhados até 200 títulos/dia, conforme prevê o convênio firmado entre a Prefeitura e o Cartório.</w:t>
            </w:r>
          </w:p>
          <w:p>
            <w:pPr>
              <w:pStyle w:val="Normal"/>
              <w:spacing w:lineRule="auto" w:line="24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cs="Arial" w:ascii="Verdana" w:hAnsi="Verdana"/>
                <w:sz w:val="22"/>
                <w:szCs w:val="22"/>
                <w:shd w:fill="FFFFFF" w:val="clear"/>
              </w:rPr>
              <w:t xml:space="preserve">Os lotes enviados ao tabelionato referem-se aos devedores de Imposto Sobre Serviços de Qualquer Natureza (ISSQN), Imposto Predial Territorial Urbano (IPTU), demais tributos, taxas e multas em geral. Os protestos serão </w:t>
            </w:r>
            <w:r>
              <w:rPr>
                <w:rFonts w:cs="Arial" w:ascii="Verdana" w:hAnsi="Verdana"/>
                <w:color w:val="000000" w:themeColor="text1"/>
                <w:sz w:val="22"/>
                <w:szCs w:val="22"/>
                <w:shd w:fill="FFFFFF" w:val="clear"/>
              </w:rPr>
              <w:t xml:space="preserve">aperfeiçoados e sua abrangência será maior, à medida que as secretarias envolvidas apurem </w:t>
            </w:r>
            <w:r>
              <w:rPr>
                <w:rFonts w:cs="Arial" w:ascii="Verdana" w:hAnsi="Verdana"/>
                <w:sz w:val="22"/>
                <w:szCs w:val="22"/>
                <w:shd w:fill="FFFFFF" w:val="clear"/>
              </w:rPr>
              <w:t xml:space="preserve">outros casos de inadimplência. </w:t>
            </w:r>
          </w:p>
          <w:p>
            <w:pPr>
              <w:pStyle w:val="Normal"/>
              <w:spacing w:lineRule="auto" w:line="24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cs="Arial" w:ascii="Verdana" w:hAnsi="Verdana"/>
                <w:sz w:val="22"/>
                <w:szCs w:val="22"/>
                <w:shd w:fill="FFFFFF" w:val="clear"/>
              </w:rPr>
              <w:t xml:space="preserve">Para a procuradora tributária, Roberta Guimarães Pereira, a ação </w:t>
            </w:r>
            <w:r>
              <w:rPr>
                <w:rFonts w:cs="Arial" w:ascii="Verdana" w:hAnsi="Verdana"/>
                <w:color w:val="000000" w:themeColor="text1"/>
                <w:sz w:val="22"/>
                <w:szCs w:val="22"/>
                <w:shd w:fill="FFFFFF" w:val="clear"/>
              </w:rPr>
              <w:t xml:space="preserve">não impacta no bolso dos bons pagadores, pois trata-se de aprimorar a eficiência fiscal do município, o que não está relacionada ao aumento de imposto ao contribuinte. </w:t>
            </w:r>
          </w:p>
          <w:p>
            <w:pPr>
              <w:pStyle w:val="Normal"/>
              <w:spacing w:lineRule="auto" w:line="240"/>
              <w:jc w:val="both"/>
              <w:rPr>
                <w:sz w:val="22"/>
                <w:szCs w:val="22"/>
              </w:rPr>
            </w:pPr>
            <w:r>
              <w:rPr>
                <w:rFonts w:cs="Arial" w:ascii="Verdana" w:hAnsi="Verdana"/>
                <w:sz w:val="22"/>
                <w:szCs w:val="22"/>
                <w:shd w:fill="FFFFFF" w:val="clear"/>
              </w:rPr>
              <w:tab/>
              <w:t>Assim que receber o comunicado do Cartório de Protesto, o contribuinte tem três dias para efetuar o pagamento em cartório e, caso não pague, será imediatamente protestado e terá restrição no cadastro de crédito SPC/Serasa. Após o protesto do título, o contribuinte somente poderá fazer o pagamento no setor de Dívida Ativa do Município de Sorocaba.</w:t>
            </w:r>
          </w:p>
          <w:p>
            <w:pPr>
              <w:pStyle w:val="Normal"/>
              <w:spacing w:lineRule="auto" w:line="24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cs="Arial" w:ascii="Verdana" w:hAnsi="Verdana"/>
                <w:sz w:val="22"/>
                <w:szCs w:val="22"/>
                <w:shd w:fill="FFFFFF" w:val="clear"/>
              </w:rPr>
              <w:t xml:space="preserve">O protesto não exclui ou inviabiliza a cobrança por meio de processo judicial, via Execução Fiscal, quando vira uma ação de cobrança por meio da Justiça e habilita a penhora, permitindo o leilão ou a hasta pública de bens móveis e imóveis. </w:t>
            </w:r>
          </w:p>
          <w:p>
            <w:pPr>
              <w:pStyle w:val="Normal"/>
              <w:spacing w:lineRule="auto" w:line="240" w:before="57" w:after="120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Arial" w:ascii="Verdana" w:hAnsi="Verdana"/>
                <w:sz w:val="22"/>
                <w:szCs w:val="22"/>
                <w:shd w:fill="FFFFFF" w:val="clear"/>
              </w:rPr>
              <w:t>Desta forma, para evitar a restrição de crédito e inclusão de seu nome no cadastro de inadimplente, o contribuinte deve ter seus débitos em dia com a Prefeitura de So</w:t>
            </w:r>
            <w:bookmarkStart w:id="2" w:name="_GoBack"/>
            <w:bookmarkEnd w:id="2"/>
            <w:r>
              <w:rPr>
                <w:rFonts w:cs="Arial" w:ascii="Verdana" w:hAnsi="Verdana"/>
                <w:sz w:val="22"/>
                <w:szCs w:val="22"/>
                <w:shd w:fill="FFFFFF" w:val="clear"/>
              </w:rPr>
              <w:t>rocaba. O Setor de Dívida Ativa da Prefeitura fica na rua Dr. Álvaro Soares, 431, no Centro.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144145</wp:posOffset>
                      </wp:positionV>
                      <wp:extent cx="548576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49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7pt,11.35pt" to="431.1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none"/>
              </w:rPr>
              <w:t xml:space="preserve">Roberto Menna – 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single"/>
              </w:rPr>
              <w:t>trmenna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00"/>
                  <w:sz w:val="20"/>
                  <w:szCs w:val="20"/>
                  <w:u w:val="none"/>
                </w:rPr>
                <w:t>@sorocaba.sp.gov.br</w:t>
              </w:r>
            </w:hyperlink>
          </w:p>
          <w:p>
            <w:pPr>
              <w:pStyle w:val="Corpodetexto"/>
              <w:spacing w:lineRule="auto" w:line="360"/>
              <w:rPr>
                <w:rFonts w:ascii="Verdana;sans-serif" w:hAnsi="Verdana;sans-serif"/>
                <w:b/>
                <w:color w:val="000000"/>
                <w:sz w:val="20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  <w:t>Telefone: 3238-2467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Application>LibreOffice/5.0.4.2$Windows_x86 LibreOffice_project/2b9802c1994aa0b7dc6079e128979269cf95bc78</Application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2016-04-14T18:15:21Z</dcterms:modified>
  <cp:revision>43</cp:revision>
</cp:coreProperties>
</file>