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7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124_2020743155"/>
            <w:r>
              <w:rPr>
                <w:rFonts w:ascii="Verdana" w:hAnsi="Verdana"/>
                <w:b/>
                <w:sz w:val="24"/>
                <w:szCs w:val="24"/>
              </w:rPr>
              <w:t xml:space="preserve">Novos binários no Jd. Santo André </w:t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  <w:u w:val="none"/>
              </w:rPr>
            </w:pPr>
            <w:bookmarkStart w:id="1" w:name="__DdeLink__124_2020743155"/>
            <w:bookmarkEnd w:id="1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entram em operação nesta sexta-feira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 as condições do tempo permitirem, a Urbes – Trânsito e Transportes implanta nesta sexta-feira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>29 dois novos sistemas binários no Jardim Santo André, Zona Norte.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Rua Durvalino Manfio passa a ter mão única de direção entre a Rua Luiz Rubino Orosco até a Rua Alípio dos Reis. Já a Rua Adelaide Lambert Deiner passa a ser de mão única no sentido inverso, formando assim o binário de trânsito.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outro binário será formado pela Rua Luiz Rubino Orosco, que passa a ter sentido único de circulação da Rua Adelaide Lambert Deiner até a Rua Durvalino Manfio e pela Rua Alípio dos Reis no sentido inverso.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as alterações viárias serão implantadas 26 placas de regulamentação e 310 metros quadrados de sinalização de solo. As mudanças serão informadas aos motoristas por faixas e cavaletes e terão o acompanhamento de agentes de trânsito.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Urbes orienta os condutores a redobrarem a atenção para a nova forma de circulação nessas ruas.//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38735</wp:posOffset>
                      </wp:positionV>
                      <wp:extent cx="5628640" cy="1143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7880" cy="1080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.15pt,2.65pt" to="445.25pt,3.4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  <w:szCs w:val="20"/>
              </w:rPr>
              <w:t>Fabiana Blaseck Sorrilha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comunicacao@urbes.com.br</w:t>
              </w:r>
            </w:hyperlink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Telefone: (15)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3331-5025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numPr>
        <w:ilvl w:val="0"/>
        <w:numId w:val="0"/>
      </w:numPr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numPr>
        <w:ilvl w:val="0"/>
        <w:numId w:val="0"/>
      </w:numPr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numPr>
        <w:ilvl w:val="0"/>
        <w:numId w:val="0"/>
      </w:numPr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numPr>
        <w:ilvl w:val="0"/>
        <w:numId w:val="0"/>
      </w:numPr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urbes.com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2016-04-28T10:52:49Z</dcterms:modified>
  <cp:revision>46</cp:revision>
</cp:coreProperties>
</file>