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ind w:left="0" w:right="0" w:firstLine="567"/>
              <w:jc w:val="center"/>
              <w:rPr>
                <w:rFonts w:ascii="Verdana" w:hAnsi="Verdana"/>
                <w:sz w:val="24"/>
                <w:szCs w:val="24"/>
              </w:rPr>
            </w:pPr>
            <w:bookmarkStart w:id="0" w:name="__DdeLink__89_1095288669"/>
            <w:r>
              <w:rPr>
                <w:rFonts w:eastAsia="Times New Roman" w:cs="Verdana" w:ascii="Verdana" w:hAnsi="Verdana"/>
                <w:b/>
                <w:bCs/>
                <w:sz w:val="24"/>
                <w:szCs w:val="24"/>
                <w:shd w:fill="FFFFFF" w:val="clear"/>
              </w:rPr>
              <w:t xml:space="preserve">Ginásio da Nova Aparecidnha </w:t>
            </w:r>
            <w:r>
              <w:rPr>
                <w:rFonts w:eastAsia="Times New Roman" w:cs="Verdana" w:ascii="Verdana" w:hAnsi="Verdana"/>
                <w:b/>
                <w:bCs/>
                <w:color w:val="000000"/>
                <w:sz w:val="24"/>
                <w:szCs w:val="24"/>
                <w:highlight w:val="white"/>
                <w:u w:val="none"/>
              </w:rPr>
              <w:t xml:space="preserve">recebe </w:t>
            </w:r>
          </w:p>
          <w:p>
            <w:pPr>
              <w:pStyle w:val="Normal"/>
              <w:spacing w:lineRule="auto" w:line="276" w:before="0" w:after="200"/>
              <w:ind w:left="0" w:right="0" w:firstLine="567"/>
              <w:jc w:val="center"/>
              <w:rPr>
                <w:rFonts w:ascii="Verdana" w:hAnsi="Verdana"/>
                <w:sz w:val="24"/>
                <w:szCs w:val="24"/>
              </w:rPr>
            </w:pPr>
            <w:bookmarkStart w:id="1" w:name="__DdeLink__89_1095288669"/>
            <w:bookmarkEnd w:id="1"/>
            <w:r>
              <w:rPr>
                <w:rFonts w:eastAsia="Times New Roman" w:cs="Verdana" w:ascii="Verdana" w:hAnsi="Verdana"/>
                <w:b/>
                <w:bCs/>
                <w:color w:val="000000"/>
                <w:sz w:val="24"/>
                <w:szCs w:val="24"/>
                <w:highlight w:val="white"/>
                <w:u w:val="none"/>
              </w:rPr>
              <w:t xml:space="preserve">estrutura para cobertura 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</w:rPr>
              <w:t xml:space="preserve">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Verdana" w:cs="Verdana" w:ascii="Verdana" w:hAnsi="Verdana"/>
                <w:b w:val="false"/>
                <w:bCs w:val="false"/>
                <w:iCs/>
                <w:sz w:val="22"/>
                <w:szCs w:val="22"/>
              </w:rPr>
              <w:t xml:space="preserve"> </w:t>
            </w:r>
            <w:r>
              <w:rPr>
                <w:rFonts w:cs="Verdana" w:ascii="Verdana" w:hAnsi="Verdana"/>
                <w:b w:val="false"/>
                <w:bCs w:val="false"/>
                <w:iCs/>
                <w:sz w:val="22"/>
                <w:szCs w:val="22"/>
              </w:rPr>
              <w:t xml:space="preserve">A Prefeitura de Sorocaba, por meio da Secretaria de Mobilidade, Desenvolvimento Urbano e Obras (Semob), prossegue com a construção da Escola Municipal que fica na rua Luiz Almeida Marins, no bairro Nova Aparecidinha.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iCs/>
                <w:sz w:val="22"/>
                <w:szCs w:val="22"/>
              </w:rPr>
              <w:t xml:space="preserve">Na manhã desta sexta-feira (29) funcionários da empresa  </w:t>
            </w:r>
            <w:r>
              <w:rPr>
                <w:rFonts w:eastAsia="Verdana" w:cs="Verdana" w:ascii="Verdana" w:hAnsi="Verdana"/>
                <w:b w:val="false"/>
                <w:bCs w:val="false"/>
                <w:iCs/>
                <w:sz w:val="22"/>
                <w:szCs w:val="22"/>
              </w:rPr>
              <w:t>Damo Engenharia e Construções Ltda. - responsável pela obra - trabalhavam na colocação da estrutura metálica de cobertura do ginásio esportivo.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Verdana" w:cs="Verdana" w:ascii="Verdana" w:hAnsi="Verdana"/>
                <w:b w:val="false"/>
                <w:bCs w:val="false"/>
                <w:iCs/>
                <w:sz w:val="22"/>
                <w:szCs w:val="22"/>
              </w:rPr>
              <w:t>A expectativa é que na próxima semana o ginásio comece a receber as telhas metálicas. Todas as oito salas de aula do piso superior já estão com piso e os banheiros estão recebendo azulejo e também receberão piso.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Verdana" w:cs="Verdana" w:ascii="Verdana" w:hAnsi="Verdana"/>
                <w:b w:val="false"/>
                <w:bCs w:val="false"/>
                <w:iCs/>
                <w:sz w:val="22"/>
                <w:szCs w:val="22"/>
              </w:rPr>
              <w:t xml:space="preserve"> </w:t>
            </w:r>
            <w:r>
              <w:rPr>
                <w:rFonts w:eastAsia="Verdana" w:cs="Verdana" w:ascii="Verdana" w:hAnsi="Verdana"/>
                <w:b w:val="false"/>
                <w:bCs w:val="false"/>
                <w:iCs/>
                <w:sz w:val="22"/>
                <w:szCs w:val="22"/>
              </w:rPr>
              <w:t>As janelas da escola têm as esquadrias de alumínio e o vidro começa a ser colocado na próxima semana.  Toda rede de esgoto já está pronta.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iCs/>
                <w:sz w:val="22"/>
                <w:szCs w:val="22"/>
              </w:rPr>
              <w:t xml:space="preserve">A unidade está coberta e o pátio externo vai contar  com uma escadaria que poderá ser usada como uma pequena arquibancada.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iCs/>
                <w:sz w:val="22"/>
                <w:szCs w:val="22"/>
              </w:rPr>
              <w:t xml:space="preserve">O novo prédio escolar terá 2.240 m² de área construída, com capacidade para atender 960 alunos do 1º ao 5º ano do Ensino Fundamental, em 16 salas de aula.  </w:t>
            </w:r>
            <w:r>
              <w:rPr>
                <w:rFonts w:eastAsia="Verdana" w:cs="Verdana" w:ascii="Verdana" w:hAnsi="Verdana"/>
                <w:b w:val="false"/>
                <w:bCs w:val="false"/>
                <w:sz w:val="22"/>
                <w:szCs w:val="22"/>
              </w:rPr>
              <w:t xml:space="preserve">A previsão para entrega do prédio é novembro deste ano.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/>
            </w:pPr>
            <w:r>
              <w:rPr>
                <w:rStyle w:val="LinkdaInternet"/>
                <w:rFonts w:eastAsia="Verdana" w:cs="Verdana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>O</w:t>
            </w:r>
            <w:r>
              <w:rPr>
                <w:rStyle w:val="LinkdaInternet"/>
                <w:rFonts w:eastAsia="Verdana" w:cs="Verdana" w:ascii="Verdana" w:hAnsi="Verdana"/>
                <w:b w:val="false"/>
                <w:bCs w:val="false"/>
                <w:iCs/>
                <w:color w:val="000000"/>
                <w:sz w:val="22"/>
                <w:szCs w:val="22"/>
                <w:u w:val="none"/>
              </w:rPr>
              <w:t xml:space="preserve"> trabalho de construção é acompanhado por funcionários da Secretaria de Mobilidade, Desenvolvimento Urbano e Obras (Semob), com o apoio da empresa Sistema Pri Engenharia, que faz acompanhamento de obras públicas.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Calibri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144145</wp:posOffset>
                      </wp:positionV>
                      <wp:extent cx="548830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78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5pt,11.35pt" to="431.5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Web"/>
              <w:spacing w:lineRule="auto" w:line="360" w:before="0" w:after="0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Pedro Guerra –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color w:val="000000"/>
                  <w:sz w:val="22"/>
                  <w:szCs w:val="22"/>
                </w:rPr>
                <w:t>pguerra@sorocaba.sp.gov.br</w:t>
              </w:r>
            </w:hyperlink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Telefone: 3238-2294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uer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Application>LibreOffice/5.0.4.2$Windows_x86 LibreOffice_project/2b9802c1994aa0b7dc6079e128979269cf95bc78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2016-04-29T14:44:17Z</dcterms:modified>
  <cp:revision>49</cp:revision>
</cp:coreProperties>
</file>