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1"/>
        <w:gridCol w:w="8903"/>
      </w:tblGrid>
      <w:tr>
        <w:trPr>
          <w:trHeight w:val="360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</w:pPr>
            <w:bookmarkStart w:id="0" w:name="__DdeLink__62_633161760"/>
            <w:bookmarkEnd w:id="0"/>
            <w:r>
              <w:rPr>
                <w:rFonts w:ascii="Verdana;sans-serif" w:hAnsi="Verdana;sans-serif"/>
                <w:b/>
                <w:color w:val="000000"/>
                <w:sz w:val="24"/>
                <w:szCs w:val="24"/>
                <w:highlight w:val="white"/>
                <w:u w:val="none"/>
              </w:rPr>
              <w:t>Capacitação de conselheiros tutelares começou nesta segunda-feira</w:t>
            </w:r>
          </w:p>
        </w:tc>
      </w:tr>
      <w:tr>
        <w:trPr>
          <w:trHeight w:val="81" w:hRule="atLeast"/>
        </w:trPr>
        <w:tc>
          <w:tcPr>
            <w:tcW w:w="1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150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Teve início na manhã desta segunda-feira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11, o curso de capacitação dos 90 conselheiros tutelares, entre 30 titulares e 60 suplentes, que foram empossados neste ano para o quadriênio 2016/2019. </w:t>
            </w:r>
          </w:p>
          <w:p>
            <w:pPr>
              <w:pStyle w:val="Corpodetexto"/>
              <w:spacing w:lineRule="auto" w:line="240" w:before="0" w:after="150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formação, que é feita pelo Conselho Municipal dos Direitos da Criança e do Adolescente de Sorocaba (CMDCA), atende à Resolução do Conselho Nacional dos Direitos da Criança e do Adolescente (Conanda) e acontece até a próxima sexta-feira (15), das 8h30 às 12h30, no auditório da Biblioteca Municipal “Jorge Guilherme Senger”, no Alto da Boa Vista.</w:t>
            </w:r>
          </w:p>
          <w:p>
            <w:pPr>
              <w:pStyle w:val="Corpodetexto"/>
              <w:spacing w:lineRule="auto" w:line="240" w:before="0" w:after="150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acordo com a presidente do CMDCA, Ana Lúcia Gardenal Beranger, a formação visa capacitar estes profissionais para o exercício da função, garantindo as prerrogativas constitucionais do Estatuto da Criança e do Adolescente (ECA). </w:t>
            </w:r>
          </w:p>
          <w:p>
            <w:pPr>
              <w:pStyle w:val="Corpodetexto"/>
              <w:spacing w:lineRule="auto" w:line="240" w:before="0" w:after="150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Entre os temas abordados estão os marcos regulatórios da Proteção Integral à Infância, à Juventude e ao ECA; o ECA e o Sistema de Garantia dos Direitos da Criança e do Adolescente; Rotinas de Intervenção dos Conselheiros Tutelares; e a Defesa dos Direitos Fundamentais.</w:t>
            </w:r>
          </w:p>
          <w:p>
            <w:pPr>
              <w:pStyle w:val="Corpodetexto"/>
              <w:spacing w:lineRule="auto" w:line="240" w:before="0" w:after="150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abertura do curso foi feita pela vice-prefeita e secretária do Desenvolvimento Social, Edith Di Giorgi. Segundo ela, o trabalho que será executado pelos conselheiros tutelares é de extrema importância. </w:t>
            </w:r>
          </w:p>
          <w:p>
            <w:pPr>
              <w:pStyle w:val="Corpodetexto"/>
              <w:spacing w:lineRule="auto" w:line="240" w:before="0" w:after="150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 acordo com o CMDCA, os conselheiros devem cumprir uma frequência mínima de 75% do curso. Além da capacitação, nos dias 14 e 15 de abril, das 14h às 17h, eles passarão por um treinamento com as equipes da Secretaria de Desenvolvimento Social (Sedes) e da Secretaria da Administração (Sead) na própria sede do CMDCA, no Vergueiro.</w:t>
            </w:r>
          </w:p>
          <w:p>
            <w:pPr>
              <w:pStyle w:val="Corpodetexto"/>
              <w:spacing w:lineRule="auto" w:line="240" w:before="0" w:after="150"/>
              <w:ind w:left="0" w:right="0" w:firstLine="709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Posteriormente, de acordo com Ana Lúcia, os conselheiros ainda terão a oportunidade de visitar o Ministério Público e o judiciário para conversar com os responsáveis pelos órgãos e tirar suas dúvidas e entender melhor as questões legislativas.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  <w:b/>
                <w:bCs/>
                <w:color w:val="000000"/>
              </w:rPr>
              <w:t xml:space="preserve">Programa de Estágio: Ana Carolina Chinelatto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bCs/>
                  <w:color w:val="000000"/>
                </w:rPr>
                <w:t>achinelatto@sorocaba.sp.gov.br</w:t>
              </w:r>
            </w:hyperlink>
          </w:p>
          <w:p>
            <w:pPr>
              <w:pStyle w:val="Corpodetexto"/>
              <w:spacing w:lineRule="auto" w:line="360" w:before="0" w:after="150"/>
              <w:jc w:val="left"/>
              <w:rPr/>
            </w:pPr>
            <w:r>
              <w:rPr>
                <w:rFonts w:ascii="Verdana;sans-serif" w:hAnsi="Verdana;sans-serif"/>
                <w:b/>
                <w:bCs/>
                <w:color w:val="000000"/>
              </w:rPr>
              <w:t xml:space="preserve">Supervisão: Tânia Franco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bCs/>
                  <w:color w:val="000000"/>
                </w:rPr>
                <w:t>ttferreira@sorocaba.sp.gov.br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ttferrei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2016-04-11T15:30:00Z</cp:lastPrinted>
  <dcterms:modified xsi:type="dcterms:W3CDTF">2016-04-11T15:33:02Z</dcterms:modified>
  <cp:revision>47</cp:revision>
</cp:coreProperties>
</file>