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widowControl/>
              <w:pBdr/>
              <w:spacing w:lineRule="auto" w:line="240" w:before="0" w:after="0"/>
              <w:jc w:val="center"/>
              <w:rPr/>
            </w:pPr>
            <w:bookmarkStart w:id="0" w:name="__DdeLink__363_1389843588"/>
            <w:r>
              <w:rPr>
                <w:rFonts w:cs="Verdana" w:ascii="Verdana" w:hAnsi="Verdana"/>
                <w:b/>
                <w:bCs/>
                <w:sz w:val="30"/>
                <w:szCs w:val="30"/>
              </w:rPr>
              <w:t xml:space="preserve">Quatro empresas disputam </w:t>
            </w:r>
          </w:p>
          <w:p>
            <w:pPr>
              <w:pStyle w:val="Normal"/>
              <w:spacing w:lineRule="auto" w:line="240" w:before="0" w:after="200"/>
              <w:jc w:val="center"/>
              <w:rPr/>
            </w:pPr>
            <w:bookmarkStart w:id="1" w:name="__DdeLink__363_1389843588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0"/>
                <w:szCs w:val="30"/>
                <w:u w:val="none"/>
              </w:rPr>
              <w:t>concorrência para  reforma de escola</w:t>
            </w:r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eastAsia="Times New Roman" w:cs="Verdana"/>
              </w:rPr>
            </w:pPr>
            <w:r>
              <w:rPr>
                <w:rFonts w:eastAsia="Times New Roman" w:cs="Verdana" w:ascii="Verdana" w:hAnsi="Verdana"/>
              </w:rPr>
            </w:r>
          </w:p>
          <w:p>
            <w:pPr>
              <w:pStyle w:val="Normal"/>
              <w:spacing w:lineRule="auto" w:line="276"/>
              <w:ind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>A Prefeitura de Sorocaba, por meio das secretarias da Administração (Sead), da Educação (Sedu) e, também, de Mobilidade, Desenvolvimento Urbano e Obras (Semob), prossegue com a licitação para reforma  da Escola Municipal “Professora Leá Edy Alonso Saliba”, no Jardim Marcelo Augusto, Zona Norte da cidade. Disputam a concorrência quatro empresas.</w:t>
            </w:r>
          </w:p>
          <w:p>
            <w:pPr>
              <w:pStyle w:val="Normal"/>
              <w:spacing w:lineRule="auto" w:line="276"/>
              <w:ind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 xml:space="preserve">A unidade escolar atende a 1.038 alunos do 1º ao 5º ano (Ensino Fundamental 1). Também acontecem na escola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aulas do programa “Alfa Vida”, direcionado à Educação de Jovens e Adultos (EJA), com média 20 alunos.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/>
              <w:ind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>No início da licitação, nove empresas apresentaram os envelopes de habilitação (documentação) e propostas (preços). Após análise da documentação feita pela Comissão Permanente de Licitações da Sead, quatro empresas foram habilitadas para prosseguir na concorrência.</w:t>
            </w:r>
          </w:p>
          <w:p>
            <w:pPr>
              <w:pStyle w:val="Normal"/>
              <w:spacing w:lineRule="auto" w:line="276"/>
              <w:ind w:firstLine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 xml:space="preserve">A Comissão Permanente de Licitações abriu os envelopes das propostas de preço no dia 29 de março e o menor valor apresentado foi de R$ 1.406.549,03. O valor representa uma economia de 19,43% aos cofres públicos, já que o preço inicial da licitação era de R$ 1.745.903,51.  </w:t>
            </w:r>
          </w:p>
          <w:p>
            <w:pPr>
              <w:pStyle w:val="Normal"/>
              <w:spacing w:lineRule="auto" w:line="276"/>
              <w:ind w:firstLine="720"/>
              <w:jc w:val="both"/>
              <w:rPr>
                <w:rFonts w:ascii="Verdana" w:hAnsi="Verdana" w:eastAsia="Times New Roman" w:cs="Verdana"/>
                <w:color w:val="000000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>Nos termos do artigo 109, Inciso I, “b” da Lei 8666/93 (Lei de Licitações) a Comissão abriu prazo de recursos das outras empresas. Caso não seja apresentado nenhum, a licitação será homologada.</w:t>
            </w:r>
          </w:p>
          <w:p>
            <w:pPr>
              <w:pStyle w:val="Normal"/>
              <w:spacing w:lineRule="auto" w:line="276"/>
              <w:ind w:firstLine="720"/>
              <w:jc w:val="both"/>
              <w:rPr>
                <w:rFonts w:ascii="Verdana" w:hAnsi="Verdana" w:eastAsia="Times New Roman" w:cs="Verdana"/>
                <w:color w:val="000000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 xml:space="preserve">Pelo trâmite legal, após assinatura do contrato o prazo para conclusão da obra é de 245 dias, a partir da emissão e recebimento da Ordem do Serviço. Toda obra será fiscalizada pela Secretaria de Mobilidade, Desenvolvimento Urbano e Obras (Semob). </w:t>
            </w:r>
          </w:p>
          <w:p>
            <w:pPr>
              <w:pStyle w:val="Corpodetexto"/>
              <w:widowControl/>
              <w:pBdr/>
              <w:spacing w:lineRule="auto" w:line="276" w:before="0" w:after="0"/>
              <w:jc w:val="both"/>
              <w:rPr>
                <w:rFonts w:cs="Verdana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_____________________________________________________________</w:t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widowControl/>
              <w:pBdr/>
              <w:spacing w:lineRule="auto" w:line="360" w:before="0" w:after="0"/>
              <w:jc w:val="left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2"/>
                  <w:szCs w:val="22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2"/>
                  <w:szCs w:val="22"/>
                </w:rPr>
                <w:br/>
              </w:r>
            </w:hyperlink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2016-03-31T16:48:54Z</cp:lastPrinted>
  <dcterms:modified xsi:type="dcterms:W3CDTF">2016-03-31T17:16:48Z</dcterms:modified>
  <cp:revision>33</cp:revision>
</cp:coreProperties>
</file>