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30"/>
                <w:szCs w:val="22"/>
              </w:rPr>
            </w:pPr>
            <w:bookmarkStart w:id="0" w:name="__DdeLink__37_2116709315"/>
            <w:r>
              <w:rPr>
                <w:rFonts w:ascii="Verdana" w:hAnsi="Verdana"/>
                <w:b/>
                <w:sz w:val="22"/>
                <w:szCs w:val="22"/>
              </w:rPr>
              <w:t>P</w:t>
            </w:r>
            <w:bookmarkEnd w:id="0"/>
            <w:r>
              <w:rPr>
                <w:rFonts w:ascii="Verdana" w:hAnsi="Verdana"/>
                <w:b/>
                <w:sz w:val="22"/>
                <w:szCs w:val="22"/>
              </w:rPr>
              <w:t>refeitura realiza serviços de roçagem e limpeza em 29 bairros</w:t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rStyle w:val="Nfase"/>
                <w:rFonts w:ascii="Verdana;sans-serif" w:hAnsi="Verdana;sans-serif" w:cs="Calibri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30"/>
                <w:szCs w:val="22"/>
                <w:u w:val="none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A Prefeitura de Sorocaba prossegue ao longo da semana com serviços de manutenção, roçagem e limpeza de vias e espaços públicos de várias regiões da área urbana.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A ação da Secretaria de Serviços Públicos (Serp) vai beneficiar 29 bairros e, além da limpeza, o trabalho tem por objetivo a erradicação de possíveis criadouros do mosquito </w:t>
            </w:r>
            <w:r>
              <w:rPr>
                <w:rFonts w:ascii="Verdana;sans-serif" w:hAnsi="Verdana;sans-serif"/>
                <w:i/>
                <w:sz w:val="22"/>
                <w:szCs w:val="22"/>
              </w:rPr>
              <w:t xml:space="preserve">Aedes aegypti, </w:t>
            </w:r>
            <w:r>
              <w:rPr>
                <w:rFonts w:ascii="Verdana;sans-serif" w:hAnsi="Verdana;sans-serif"/>
                <w:sz w:val="22"/>
                <w:szCs w:val="22"/>
              </w:rPr>
              <w:t>transmissor da dengue e das febres zika e c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hikungunya.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  <w:color w:val="000000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O trabalho engloba ações de paisagismo e despraguejamento de terrenos públicos, praças, parques, além de canteiros de avenidas, ciclovias e áreas de lazer.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Os funcionários ainda estão alertas quanto à localização de objetos e recipientes que podem acumular água e servir de criadouro do mosquito; por isso, tudo é r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ecolhido pelas equipes como forma de eliminar possíveis criadouros do </w:t>
            </w:r>
            <w:r>
              <w:rPr>
                <w:rFonts w:ascii="Verdana;sans-serif" w:hAnsi="Verdana;sans-serif"/>
                <w:i/>
                <w:color w:val="000000"/>
                <w:sz w:val="22"/>
                <w:szCs w:val="22"/>
              </w:rPr>
              <w:t>Aedes.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i/>
                <w:color w:val="000000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rPr/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Entre outros bairros que recebem o serviço de roçagem da Prefeitura estão o Jardim Flores, Jardim Nogueira, Vila Progresso, Parque Manchester, Jardim Santa Bárbara, Zona Industrial e Jardim Santa Rosa. </w:t>
            </w:r>
          </w:p>
          <w:p>
            <w:pPr>
              <w:pStyle w:val="Corpodetexto"/>
              <w:spacing w:lineRule="auto" w:line="276"/>
              <w:ind w:left="0" w:right="0" w:firstLine="567"/>
              <w:rPr/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A lista completa com todos os bairros atendidos pode ser acessada no Portal, sorocaba.sp.gov.br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2016-03-15T15:53:06Z</dcterms:modified>
  <cp:revision>29</cp:revision>
</cp:coreProperties>
</file>