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jc w:val="center"/>
              <w:rPr/>
            </w:pPr>
            <w:bookmarkStart w:id="0" w:name="__DdeLink__604_1389843588"/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  <w:t>Farmácias Populares vão centralizar distribuição de</w:t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bookmarkStart w:id="1" w:name="__DdeLink__604_1389843588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medicamentos contra asma, diabetes e hipertensão</w:t>
            </w:r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i/>
                <w:i/>
                <w:iCs/>
                <w:color w:val="000000"/>
                <w:u w:val="single"/>
              </w:rPr>
            </w:pPr>
            <w:r>
              <w:rPr>
                <w:rFonts w:cs="Verdana" w:ascii="Verdana" w:hAnsi="Verdana"/>
                <w:i/>
                <w:iCs/>
                <w:color w:val="000000"/>
                <w:u w:val="single"/>
              </w:rPr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rFonts w:cs="Verdana" w:ascii="Verdana" w:hAnsi="Verdana"/>
                <w:color w:val="000000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 distribuição gratuita de medicamentos contra asma, diabetes e hipertensão, a partir desta sexta-feira 1º de abril, passa a ser feita exclusivamente pelos 139 estabelecimentos de Sorocaba credenciados no Programa “Aqui tem Farmácia Popular”, do Governo Federal, e implementado no município em parceria com a Secretaria da Saúde (SES). Os demais medicamentos continuarão sendo dispensados normalmente nas farmácias das 36 unidades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ligadas à rede municipal de saúde.</w:t>
            </w:r>
          </w:p>
          <w:p>
            <w:pPr>
              <w:pStyle w:val="Corpodetexto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A medida deve gerar uma economia anual à Prefeitura de aproximadamente R$ 1 milhão, já que também comprava os mesmos medicamentos para distribuição na rede municipal, embora sejam disponibilizados também de forma gratuita pelo Ministério da Saúde. </w:t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O cidadão pode consultar a relação completa das Farmácias Populares disponíveis em Sorocaba pelo site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color w:val="000000"/>
                  <w:sz w:val="22"/>
                  <w:szCs w:val="22"/>
                </w:rPr>
                <w:t>portalsaude.saude.gov.br</w:t>
              </w:r>
            </w:hyperlink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.</w:t>
            </w:r>
          </w:p>
          <w:p>
            <w:pPr>
              <w:pStyle w:val="Corpodetexto"/>
              <w:spacing w:lineRule="auto" w:line="276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As mudanças no atendimento vêm sendo discutidas desde o ano passado. Em dezembro, a SES realizou uma reunião com 77 representantes de redes de farmácias e com o Conselho Regional de Farmácias para explicar os procedimentos a serem adotados. </w:t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>Para fazer a retirada do medicamento, a receita deverá ter validade de 120 dias, contendo ainda carimbo e assinatura do médico, endereço do estabelecimento de saúde, data da prescrição, nome e endereço do paciente.</w:t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É preciso apresentar documento oficial com foto, no qual conste o número do CPF do beneficiado. Serão emitidos dois cupons: Fiscal e Vinculado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A receita original não poderá ser deixada na farmácia, apenas a cópia.</w:t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_____________________________________________________________</w:t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Eduardo Santinon – </w:t>
            </w:r>
            <w:hyperlink r:id="rId3">
              <w:r>
                <w:rPr>
                  <w:rStyle w:val="LinkdaInternet"/>
                  <w:rFonts w:cs="Verdana" w:ascii="Verdana" w:hAnsi="Verdana"/>
                </w:rPr>
                <w:t>esantinon@sorocaba.sp.gov.br</w:t>
              </w:r>
            </w:hyperlink>
          </w:p>
          <w:p>
            <w:pPr>
              <w:pStyle w:val="Corpodetexto"/>
              <w:widowControl/>
              <w:pBdr/>
              <w:spacing w:lineRule="auto" w:line="240" w:before="0" w:after="0"/>
              <w:jc w:val="left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ortalsaude.saude.gov.br/images/pdf/2016/marco/14/fpbrsc-sp.pdf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2016-03-31T17:17:48Z</cp:lastPrinted>
  <dcterms:modified xsi:type="dcterms:W3CDTF">2016-03-31T17:21:52Z</dcterms:modified>
  <cp:revision>34</cp:revision>
</cp:coreProperties>
</file>