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88" w:type="dxa"/>
        <w:tblBorders>
          <w:top w:val="single" w:sz="2" w:space="0" w:color="000001"/>
          <w:left w:val="single" w:sz="2" w:space="0" w:color="000001"/>
          <w:bottom w:val="single" w:sz="2" w:space="0" w:color="000001"/>
          <w:insideH w:val="single" w:sz="2" w:space="0" w:color="000001"/>
        </w:tblBorders>
        <w:tblCellMar>
          <w:top w:w="55" w:type="dxa"/>
          <w:left w:w="3"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3" w:type="dxa"/>
            </w:tcMar>
          </w:tcPr>
          <w:p>
            <w:pPr>
              <w:pStyle w:val="Contedodatabela"/>
              <w:snapToGrid w:val="false"/>
              <w:spacing w:lineRule="auto" w:line="240"/>
              <w:jc w:val="both"/>
              <w:rPr/>
            </w:pPr>
            <w:r>
              <w:rPr>
                <w:rFonts w:cs="Verdana" w:ascii="Verdana" w:hAnsi="Verdana"/>
                <w:b/>
                <w:bCs/>
                <w:sz w:val="16"/>
                <w:szCs w:val="16"/>
              </w:rPr>
              <w:t>1</w:t>
            </w:r>
            <w:r>
              <w:rPr>
                <w:rFonts w:cs="Verdana" w:ascii="Verdana" w:hAnsi="Verdana"/>
                <w:b/>
                <w:bCs/>
                <w:sz w:val="16"/>
                <w:szCs w:val="16"/>
              </w:rPr>
              <w:t>8</w:t>
            </w:r>
            <w:r>
              <w:rPr>
                <w:rFonts w:cs="Verdana" w:ascii="Verdana" w:hAnsi="Verdana"/>
                <w:b/>
                <w:bCs/>
                <w:sz w:val="16"/>
                <w:szCs w:val="16"/>
              </w:rPr>
              <w:t>/03/16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 w:type="dxa"/>
            </w:tcMar>
          </w:tcPr>
          <w:p>
            <w:pPr>
              <w:pStyle w:val="Corpodetexto"/>
              <w:spacing w:lineRule="auto" w:line="240"/>
              <w:ind w:left="0" w:right="0" w:firstLine="708"/>
              <w:jc w:val="center"/>
              <w:rPr>
                <w:rFonts w:ascii="Verdana" w:hAnsi="Verdana"/>
                <w:b/>
                <w:sz w:val="24"/>
                <w:szCs w:val="24"/>
              </w:rPr>
            </w:pPr>
            <w:bookmarkStart w:id="0" w:name="__DdeLink__102_594624034"/>
            <w:r>
              <w:rPr>
                <w:rFonts w:ascii="Verdana" w:hAnsi="Verdana"/>
                <w:b/>
                <w:color w:val="00000A"/>
                <w:sz w:val="24"/>
                <w:szCs w:val="24"/>
              </w:rPr>
              <w:t xml:space="preserve">Ciclofaixa Recreativa da Av. Afonso </w:t>
            </w:r>
            <w:r>
              <w:rPr>
                <w:rStyle w:val="Nfase"/>
                <w:rFonts w:cs="Calibri" w:ascii="Verdana" w:hAnsi="Verdana"/>
                <w:b/>
                <w:bCs/>
                <w:i w:val="false"/>
                <w:caps w:val="false"/>
                <w:smallCaps w:val="false"/>
                <w:color w:val="00000A"/>
                <w:spacing w:val="0"/>
                <w:sz w:val="24"/>
                <w:szCs w:val="24"/>
                <w:u w:val="none"/>
              </w:rPr>
              <w:t xml:space="preserve">Vergueiro </w:t>
            </w:r>
          </w:p>
          <w:p>
            <w:pPr>
              <w:pStyle w:val="Corpodetexto"/>
              <w:spacing w:lineRule="auto" w:line="240" w:before="0" w:after="120"/>
              <w:ind w:left="0" w:right="0" w:firstLine="708"/>
              <w:jc w:val="center"/>
              <w:rPr>
                <w:rFonts w:ascii="Verdana" w:hAnsi="Verdana"/>
                <w:b/>
                <w:sz w:val="24"/>
                <w:szCs w:val="24"/>
              </w:rPr>
            </w:pPr>
            <w:bookmarkStart w:id="1" w:name="__DdeLink__102_594624034"/>
            <w:bookmarkEnd w:id="1"/>
            <w:r>
              <w:rPr>
                <w:rStyle w:val="Nfase"/>
                <w:rFonts w:cs="Calibri" w:ascii="Verdana" w:hAnsi="Verdana"/>
                <w:b/>
                <w:bCs/>
                <w:i w:val="false"/>
                <w:caps w:val="false"/>
                <w:smallCaps w:val="false"/>
                <w:color w:val="00000A"/>
                <w:spacing w:val="0"/>
                <w:sz w:val="24"/>
                <w:szCs w:val="24"/>
                <w:u w:val="none"/>
              </w:rPr>
              <w:t>é opção de lazer para a família</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3"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 w:type="dxa"/>
            </w:tcMar>
          </w:tcPr>
          <w:p>
            <w:pPr>
              <w:pStyle w:val="Corpodetexto"/>
              <w:spacing w:lineRule="auto" w:line="240" w:before="0" w:after="0"/>
              <w:ind w:left="0" w:right="0" w:firstLine="567"/>
              <w:jc w:val="both"/>
              <w:rPr/>
            </w:pPr>
            <w:r>
              <w:rPr/>
            </w:r>
          </w:p>
          <w:p>
            <w:pPr>
              <w:pStyle w:val="Corpodetexto"/>
              <w:ind w:left="0" w:right="0" w:firstLine="708"/>
              <w:jc w:val="both"/>
              <w:rPr>
                <w:rFonts w:ascii="Verdana" w:hAnsi="Verdana"/>
                <w:sz w:val="22"/>
                <w:szCs w:val="22"/>
              </w:rPr>
            </w:pPr>
            <w:r>
              <w:rPr>
                <w:rFonts w:ascii="Verdana" w:hAnsi="Verdana"/>
                <w:sz w:val="22"/>
                <w:szCs w:val="22"/>
              </w:rPr>
              <w:t xml:space="preserve">A Ciclofaixa Recreativa da Avenida Afonso Vergueiro é opção aos domingos para quem deseja pedalar com a família. </w:t>
            </w:r>
            <w:r>
              <w:rPr>
                <w:rFonts w:ascii="Verdana" w:hAnsi="Verdana"/>
                <w:sz w:val="22"/>
                <w:szCs w:val="22"/>
              </w:rPr>
              <w:t xml:space="preserve">O dispositivo </w:t>
            </w:r>
            <w:r>
              <w:rPr>
                <w:rFonts w:ascii="Verdana" w:hAnsi="Verdana"/>
                <w:sz w:val="22"/>
                <w:szCs w:val="22"/>
              </w:rPr>
              <w:t xml:space="preserve">funciona das 7h às 12h, no trecho entre a Praça da Bandeira e a Praça Lions, </w:t>
            </w:r>
            <w:r>
              <w:rPr>
                <w:rFonts w:ascii="Verdana" w:hAnsi="Verdana"/>
                <w:sz w:val="22"/>
                <w:szCs w:val="22"/>
              </w:rPr>
              <w:t>somando mil e duzentos metros</w:t>
            </w:r>
            <w:r>
              <w:rPr>
                <w:rFonts w:ascii="Verdana" w:hAnsi="Verdana"/>
                <w:sz w:val="22"/>
                <w:szCs w:val="22"/>
              </w:rPr>
              <w:t xml:space="preserve"> de faixa e sinalização especial.</w:t>
            </w:r>
          </w:p>
          <w:p>
            <w:pPr>
              <w:pStyle w:val="Corpodetexto"/>
              <w:ind w:left="0" w:right="0" w:firstLine="708"/>
              <w:jc w:val="both"/>
              <w:rPr>
                <w:rFonts w:ascii="Verdana" w:hAnsi="Verdana"/>
                <w:sz w:val="22"/>
                <w:szCs w:val="22"/>
              </w:rPr>
            </w:pPr>
            <w:r>
              <w:rPr>
                <w:rFonts w:ascii="Verdana" w:hAnsi="Verdana"/>
                <w:sz w:val="22"/>
                <w:szCs w:val="22"/>
              </w:rPr>
              <w:t>A</w:t>
            </w:r>
            <w:r>
              <w:rPr>
                <w:rFonts w:ascii="Verdana" w:hAnsi="Verdana"/>
                <w:sz w:val="22"/>
                <w:szCs w:val="22"/>
              </w:rPr>
              <w:t xml:space="preserve"> atividade conta com a presença de agentes de trânsito </w:t>
            </w:r>
            <w:r>
              <w:rPr>
                <w:rFonts w:ascii="Verdana" w:hAnsi="Verdana"/>
                <w:sz w:val="22"/>
                <w:szCs w:val="22"/>
              </w:rPr>
              <w:t>que</w:t>
            </w:r>
            <w:r>
              <w:rPr>
                <w:rFonts w:ascii="Verdana" w:hAnsi="Verdana"/>
                <w:sz w:val="22"/>
                <w:szCs w:val="22"/>
              </w:rPr>
              <w:t xml:space="preserve"> garant</w:t>
            </w:r>
            <w:r>
              <w:rPr>
                <w:rFonts w:ascii="Verdana" w:hAnsi="Verdana"/>
                <w:sz w:val="22"/>
                <w:szCs w:val="22"/>
              </w:rPr>
              <w:t>em</w:t>
            </w:r>
            <w:r>
              <w:rPr>
                <w:rFonts w:ascii="Verdana" w:hAnsi="Verdana"/>
                <w:sz w:val="22"/>
                <w:szCs w:val="22"/>
              </w:rPr>
              <w:t xml:space="preserve"> a segurança no local e orienta</w:t>
            </w:r>
            <w:r>
              <w:rPr>
                <w:rFonts w:ascii="Verdana" w:hAnsi="Verdana"/>
                <w:sz w:val="22"/>
                <w:szCs w:val="22"/>
              </w:rPr>
              <w:t>m</w:t>
            </w:r>
            <w:r>
              <w:rPr>
                <w:rFonts w:ascii="Verdana" w:hAnsi="Verdana"/>
                <w:sz w:val="22"/>
                <w:szCs w:val="22"/>
              </w:rPr>
              <w:t xml:space="preserve"> os condutores a redobrarem a atenção ao trafegar pela via. </w:t>
            </w:r>
          </w:p>
          <w:p>
            <w:pPr>
              <w:pStyle w:val="Corpodetexto"/>
              <w:ind w:left="0" w:right="0" w:firstLine="708"/>
              <w:jc w:val="both"/>
              <w:rPr>
                <w:rFonts w:ascii="Verdana" w:hAnsi="Verdana"/>
                <w:sz w:val="22"/>
                <w:szCs w:val="22"/>
              </w:rPr>
            </w:pPr>
            <w:r>
              <w:rPr>
                <w:rFonts w:ascii="Verdana" w:hAnsi="Verdana"/>
                <w:sz w:val="22"/>
                <w:szCs w:val="22"/>
              </w:rPr>
              <w:t xml:space="preserve">Além de incentivar o uso da bicicleta e promover a Mobilidade Urbana e Sustentável a Ciclofaixa recreativa proporciona mais conectividade à rede Cicloviária da cidade, que soma mais de 120 quilômetros de extensão. </w:t>
            </w:r>
          </w:p>
          <w:p>
            <w:pPr>
              <w:pStyle w:val="Corpodetexto"/>
              <w:ind w:left="0" w:right="0" w:firstLine="708"/>
              <w:jc w:val="both"/>
              <w:rPr>
                <w:rFonts w:ascii="Verdana" w:hAnsi="Verdana"/>
                <w:sz w:val="22"/>
                <w:szCs w:val="22"/>
              </w:rPr>
            </w:pPr>
            <w:r>
              <w:rPr>
                <w:rFonts w:ascii="Verdana" w:hAnsi="Verdana"/>
                <w:b/>
                <w:sz w:val="22"/>
                <w:szCs w:val="22"/>
              </w:rPr>
              <w:t>Campanha educativa para ciclistas:</w:t>
            </w:r>
            <w:r>
              <w:rPr>
                <w:rFonts w:ascii="Verdana" w:hAnsi="Verdana"/>
                <w:sz w:val="22"/>
                <w:szCs w:val="22"/>
              </w:rPr>
              <w:t xml:space="preserve"> durante o funcionamento da Ciclofaixa Recreativa acontece </w:t>
            </w:r>
            <w:r>
              <w:rPr>
                <w:rFonts w:ascii="Verdana" w:hAnsi="Verdana"/>
                <w:sz w:val="22"/>
                <w:szCs w:val="22"/>
              </w:rPr>
              <w:t xml:space="preserve">também </w:t>
            </w:r>
            <w:r>
              <w:rPr>
                <w:rFonts w:ascii="Verdana" w:hAnsi="Verdana"/>
                <w:sz w:val="22"/>
                <w:szCs w:val="22"/>
              </w:rPr>
              <w:t xml:space="preserve">a campanha “Pedale Seguro” da Urbes – Trânsito e Transportes. </w:t>
            </w:r>
          </w:p>
          <w:p>
            <w:pPr>
              <w:pStyle w:val="Corpodetexto"/>
              <w:ind w:left="0" w:right="0" w:firstLine="708"/>
              <w:jc w:val="both"/>
              <w:rPr>
                <w:rFonts w:ascii="Verdana" w:hAnsi="Verdana"/>
                <w:sz w:val="22"/>
                <w:szCs w:val="22"/>
              </w:rPr>
            </w:pPr>
            <w:r>
              <w:rPr>
                <w:rFonts w:ascii="Verdana" w:hAnsi="Verdana"/>
                <w:sz w:val="22"/>
                <w:szCs w:val="22"/>
              </w:rPr>
              <w:t xml:space="preserve">Na tenda montada para a realização da campanha, os ciclistas recebem instruções sobre como se deslocar com segurança e atenção em suas bicicletas, ganham uma cartilha de orientação sobre pedalar na infraestrutura viária direcionada aos ciclistas que Sorocaba oferece, além da abordagem dos educadores da Urbes para uma revisão em sua bike. </w:t>
            </w:r>
          </w:p>
          <w:p>
            <w:pPr>
              <w:pStyle w:val="Corpodetexto"/>
              <w:ind w:left="0" w:right="0" w:firstLine="708"/>
              <w:jc w:val="both"/>
              <w:rPr>
                <w:rFonts w:ascii="Verdana" w:hAnsi="Verdana"/>
                <w:sz w:val="22"/>
                <w:szCs w:val="22"/>
              </w:rPr>
            </w:pPr>
            <w:r>
              <w:rPr>
                <w:rFonts w:ascii="Verdana" w:hAnsi="Verdana"/>
                <w:sz w:val="22"/>
                <w:szCs w:val="22"/>
              </w:rPr>
              <w:t>A abordagem educativa acontece próxima ao Chalé Francês.</w:t>
            </w:r>
          </w:p>
          <w:p>
            <w:pPr>
              <w:pStyle w:val="Corpodetexto"/>
              <w:spacing w:lineRule="auto" w:line="276"/>
              <w:ind w:left="0" w:right="0" w:firstLine="708"/>
              <w:jc w:val="both"/>
              <w:rPr>
                <w:rFonts w:ascii="Verdana" w:hAnsi="Verdana"/>
                <w:sz w:val="22"/>
                <w:szCs w:val="22"/>
              </w:rPr>
            </w:pPr>
            <w:r>
              <w:rPr>
                <w:rFonts w:ascii="Verdana" w:hAnsi="Verdana"/>
                <w:sz w:val="22"/>
                <w:szCs w:val="22"/>
              </w:rPr>
              <w:t xml:space="preserve"> </w:t>
            </w:r>
          </w:p>
          <w:p>
            <w:pPr>
              <w:pStyle w:val="Corpodetexto"/>
              <w:spacing w:before="57" w:after="0"/>
              <w:ind w:left="0" w:right="0" w:firstLine="567"/>
              <w:jc w:val="both"/>
              <w:rPr>
                <w:color w:val="000000"/>
              </w:rPr>
            </w:pPr>
            <w:r>
              <w:rPr>
                <w:rFonts w:ascii="Verdana" w:hAnsi="Verdana"/>
                <w:sz w:val="22"/>
                <w:szCs w:val="22"/>
              </w:rPr>
            </w:r>
          </w:p>
          <w:p>
            <w:pPr>
              <w:pStyle w:val="Corpodetexto"/>
              <w:spacing w:before="57" w:after="0"/>
              <w:ind w:left="0" w:right="0" w:hanging="0"/>
              <w:rPr>
                <w:rFonts w:ascii="Verdana" w:hAnsi="Verdana"/>
                <w:sz w:val="22"/>
                <w:szCs w:val="22"/>
              </w:rPr>
            </w:pPr>
            <w:r>
              <w:rPr>
                <w:rFonts w:ascii="Verdana" w:hAnsi="Verdana"/>
                <w:sz w:val="22"/>
                <w:szCs w:val="22"/>
              </w:rPr>
            </w:r>
          </w:p>
          <w:p>
            <w:pPr>
              <w:pStyle w:val="Corpodetexto"/>
              <w:spacing w:before="0" w:after="0"/>
              <w:ind w:left="0" w:right="0" w:hanging="0"/>
              <w:rPr/>
            </w:pPr>
            <w:r>
              <w:rPr>
                <w:rFonts w:ascii="Verdana" w:hAnsi="Verdana"/>
                <w:b/>
                <w:bCs/>
                <w:color w:val="000000"/>
                <w:sz w:val="24"/>
                <w:szCs w:val="24"/>
              </w:rPr>
              <w:t>Fabiana Sorrilha</w:t>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t>Douglas Valle</w:t>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1"/>
    <w:family w:val="swiss"/>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221</TotalTime>
  <Application>LibreOffice/5.0.4.2$Windows_x86 LibreOffice_project/2b9802c1994aa0b7dc6079e128979269cf95bc78</Application>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2016-03-18T10:47:07Z</cp:lastPrinted>
  <dcterms:modified xsi:type="dcterms:W3CDTF">2016-03-18T11:23:13Z</dcterms:modified>
  <cp:revision>32</cp:revision>
</cp:coreProperties>
</file>