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241"/>
        <w:gridCol w:w="8794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26</w:t>
            </w: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8"/>
                <w:szCs w:val="18"/>
              </w:rPr>
              <w:t>MANCHETE</w:t>
            </w:r>
          </w:p>
        </w:tc>
        <w:tc>
          <w:tcPr>
            <w:tcW w:w="8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lineRule="auto" w:line="360" w:before="0" w:after="0"/>
              <w:ind w:left="0" w:right="0" w:firstLine="567"/>
              <w:jc w:val="center"/>
              <w:rPr>
                <w:rFonts w:ascii="Verdana" w:hAnsi="Verdana"/>
                <w:b/>
                <w:sz w:val="44"/>
                <w:szCs w:val="24"/>
              </w:rPr>
            </w:pPr>
            <w:bookmarkStart w:id="0" w:name="__DdeLink__179_1155778566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30"/>
                <w:szCs w:val="30"/>
              </w:rPr>
              <w:t>Vergueiro é opção de lazer para a família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jc w:val="center"/>
              <w:rPr>
                <w:b/>
              </w:rPr>
            </w:pPr>
            <w:r>
              <w:rPr/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domingo, que tal pedalar pela Ciclofaixa Recreativa da Avenida Afonso Vergueiro? A Ciclofaixa Recreativa funciona das 7h às 12h no trecho compreendido entre a Praça da Bandeira e a Praça Lions. Toda a extensão da faixa, de 1,2 quilômetros, conta com sinalização especial e a presença de agentes de trânsito.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Ciclofaixa Recreativa proporciona mais conectividade à Rede Cicloviária da cidade, que já soma mais de 120 quilômetros de extensão, além de incentivar o uso da bicicleta e promover a Mobilidade Urbana Sustentável. A Urbes orienta os condutores a redobrarem a atenção ao trafegar pela Av. Afonso Vergueiro durante o período de operação da Ciclofaixa Recreativa.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Style w:val="Nfaseforte"/>
                <w:rFonts w:ascii="Verdana" w:hAnsi="Verdana"/>
                <w:sz w:val="22"/>
                <w:szCs w:val="22"/>
                <w:u w:val="single"/>
              </w:rPr>
              <w:t>‘</w:t>
            </w:r>
            <w:r>
              <w:rPr>
                <w:rStyle w:val="Nfaseforte"/>
                <w:rFonts w:ascii="Verdana" w:hAnsi="Verdana"/>
                <w:sz w:val="22"/>
                <w:szCs w:val="22"/>
                <w:u w:val="single"/>
              </w:rPr>
              <w:t>Viva Esporte e Lazer’:</w:t>
            </w:r>
            <w:r>
              <w:rPr>
                <w:rStyle w:val="Nfaseforte"/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 ação 'Viva Esporte e Lazer', da Secretaria de Esportes (Semes), também marca presença na Ciclofaixa Recreativa, levando diversas atividades para o público de todas as faixas etárias. Quem passar pela Estação Ferroviária de Sorocaba, das 8h às 12h de domingo, poderá se divertir com jogos de damas, xadrez, quebra-cabeça, dominó, tênis de mesa, pebolim, vôlei recreativo, desenhos e cama elástica.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  <w:u w:val="single"/>
              </w:rPr>
              <w:t>Campanha de segurança para ciclistas:</w:t>
            </w:r>
            <w:r>
              <w:rPr>
                <w:rFonts w:ascii="Verdana" w:hAnsi="Verdana"/>
                <w:sz w:val="22"/>
                <w:szCs w:val="22"/>
              </w:rPr>
              <w:t xml:space="preserve"> Os ciclistas que passam pela Ciclofaixa Recreativa podem receber instruções sobre como se deslocar com bicicletas com segurança e atenção. A atividade faz parte da Campanha “Pedale Seguro” da Urbes, montada próxima ao Chalé Francês, e que faz parte do Programa Pedala Sorocaba de incentivo ao uso da bicicleta.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ciclistas ganham uma cartilha de orientação sobre como pedalar na infraestrutura viária direcionada às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bicicletas que Sorocaba oferece, além da abordagem dos agentes educadores da Urbes para uma rápida revisão na bicicleta. </w:t>
            </w:r>
          </w:p>
          <w:p>
            <w:pPr>
              <w:pStyle w:val="Normal"/>
              <w:spacing w:lineRule="auto" w:line="240"/>
              <w:jc w:val="both"/>
              <w:rPr>
                <w:rFonts w:ascii="Verdana;sans-serif" w:hAnsi="Verdana;sans-serif"/>
                <w:sz w:val="22"/>
              </w:rPr>
            </w:pPr>
            <w:r>
              <w:rPr>
                <w:rFonts w:ascii="Verdana" w:hAnsi="Verdana"/>
                <w:sz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Fabiana Sorrilha – Urbes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2016-02-26T13:31:04Z</cp:lastPrinted>
  <dcterms:modified xsi:type="dcterms:W3CDTF">2016-02-26T16:14:48Z</dcterms:modified>
  <cp:revision>26</cp:revision>
</cp:coreProperties>
</file>