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64"/>
        <w:gridCol w:w="8678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102_1172235612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Território Jovem João Romão tem oficinas gratuitas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mês de fevereiro, de segunda a sexta-feira, os jovens sorocabanos de 12 a 29 anos de idade podem participar de oito oficinas no Território Jovem João Romão, localizado na Zona Leste do município.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local, a Prefeitura de Sorocaba oferece aulas gratuitas de ginástica/zumba, boxe, street dance, capoeira, futsal, kung fu, parkour e artesanato.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Administrado pela Coordenadoria da Juventude da Secretaria de Desenvolvimento Social, o T</w:t>
            </w:r>
            <w:r>
              <w:rPr>
                <w:rFonts w:ascii="Verdana" w:hAnsi="Verdana"/>
                <w:sz w:val="22"/>
                <w:szCs w:val="22"/>
              </w:rPr>
              <w:t>erritório Jovem</w:t>
            </w:r>
            <w:r>
              <w:rPr>
                <w:rFonts w:ascii="Verdana" w:hAnsi="Verdana"/>
                <w:sz w:val="22"/>
                <w:szCs w:val="22"/>
              </w:rPr>
              <w:t xml:space="preserve"> tem como meta garantir aos jovens um local para a educação não formal, com cursos profissionalizantes e experiências de lazer em geral.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Coordenadoria da Juventude, há vagas para todas as atividades. Para participar os interessados devem comparecer à unidade levando RG e CPF e se inscrever na oficina escolhida.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das oficinas, as garotas de 12 a 16 anos de idade podem se inscrever para participar do Projeto “Viva Meninas – Empoderamento e Cidadania“, que ocorre de 14 a 24 de março no </w:t>
            </w:r>
            <w:r>
              <w:rPr>
                <w:rFonts w:ascii="Verdana" w:hAnsi="Verdana"/>
                <w:sz w:val="22"/>
                <w:szCs w:val="22"/>
              </w:rPr>
              <w:t>local</w:t>
            </w:r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Cada menina participa de dez encontros consecutivos, de segunda a sexta-feira, das 14h às 17h, com oito vivências socioculturais educativas, visando estimular o desenvolvimento de potencialidades e a abertura de caminhos possíveis para a promoção da cidadania e o reconhecimento de seus direitos.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Quem lidera este trabalho, com o apoio de voluntárias, é a socióloga e educadora Flavia Biggs.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Território Jovem funciona de segunda a sexta-feira, das 8h às 17h, e está localizado na Rua Adelino Scarpa, 60, na Vila João Romão. Mais informações pelo telefone (15) 3234.1025.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b/>
                <w:b/>
                <w:bCs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MARIANA CAMPOS</w:t>
            </w:r>
          </w:p>
          <w:p>
            <w:pPr>
              <w:pStyle w:val="Corpodetexto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2016-02-01T16:24:10Z</dcterms:modified>
  <cp:revision>18</cp:revision>
</cp:coreProperties>
</file>