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>SES registra maior número de casos de</w:t>
            </w:r>
          </w:p>
          <w:p>
            <w:pPr>
              <w:pStyle w:val="Corpodetexto"/>
              <w:spacing w:lineRule="auto" w:line="360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dengue entre pessoas de 20 a 49 anos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Levantamento feito pela Divisão de Vigilância Epidemiológica (DVE), da Secretaria da Saúde de Sorocaba (SES), mostra que 56,5% dos casos confirmados de dengue em Sorocaba, de julho de 2015 a fevereiro de 2016, foram registrados em pessoas de 20 a 49 anos.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Apesar disso, alerta é para que a população em geral, e não apenas nessa faixa etária, adote medidas preventivas para evitar o contágio, sobretudo a população acima de 60 anos, cujas implicações da doença costumam ser mais graves.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>N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o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período, dos 96 casos (52 locais e 44 importados) de dengue identificados na cidade, 55 (57%) foram em homens e 41 (43%) em mulheres. Desse total, 54 são relativos ao grupo de faixa etária de 20 a 49 anos.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>O estud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o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 mostra que o público mais acometido manteve-se em relação ao primeiro semestre de 2015, quando Sorocaba passou por situação epidêmica de dengue. Na ocasião, de janeiro a junho, 28.137 pessoas de 20 a 49 anos tiveram dengue, o que representou 49,6% das ocorrências da doença.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Outra constatação é que o fato desse público mais acometido pela dengue ser residente e circular pela zona urbana, sinaliza em qual local o mosquito costuma habitar.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As ações de bloqueio em regiões onde há constatação de casos suspeitos ou confirmados de dengue, chikungunya e zika, ocorrem diariamente por meio das visitas de casa em casa, onde moradores recebem dicas preventivas e ainda é feita a remoção de possíveis criadouros de larvas do </w:t>
            </w:r>
            <w:r>
              <w:rPr>
                <w:rStyle w:val="LinkdaInternet"/>
                <w:rFonts w:cs="Verdana" w:ascii="Verdana" w:hAnsi="Verdana"/>
                <w:i/>
                <w:iCs/>
                <w:color w:val="000000"/>
                <w:sz w:val="22"/>
                <w:szCs w:val="22"/>
                <w:u w:val="none"/>
              </w:rPr>
              <w:t>Aedes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Nesta semana, os trabalhos serão concentrados no Jardim São Conrado, Jardim Faculdade, Wanel Ville, Central Parque, Jardim São Paulo e Jardim São Guilherme. Já a nebulização, por meio da aplicação de veneno nas residências, está prevista para ocorrer no Jardim São Guilherme, Jardim São Paulo, Jardim Europa, Sol Nascente e Parque Vitória Régia.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duardo Santinon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Times New Roman" w:hAnsi="Times New Roman" w:eastAsia="SimSun;宋体" w:cs="Mangal"/>
      <w:color w:val="auto"/>
      <w:sz w:val="24"/>
      <w:szCs w:val="21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2016-02-29T12:16:14Z</cp:lastPrinted>
  <dcterms:modified xsi:type="dcterms:W3CDTF">2016-02-29T12:28:33Z</dcterms:modified>
  <cp:revision>26</cp:revision>
</cp:coreProperties>
</file>