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bookmarkStart w:id="0" w:name="__DdeLink__78_1496262533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 xml:space="preserve">SES promove Campanha de Busca do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bookmarkStart w:id="1" w:name="__DdeLink__78_1496262533"/>
            <w:bookmarkEnd w:id="1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Sintomático Respiratório (tuberculose)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A Secretaria da Saúde (SES) de Sorocaba realiza, de 29 de fevereiro a 11 de março, mais uma Campanha de Busca do Sintomático Respiratório (Tuberculose). A iniciativa é promovida duas vezes ao ano – a segunda ocorre em novembro - e marca a passagem do Dia Mundial da Tuberculose, celebrado em 24 de março. Os objetivos principais são orientar a população sobre os sintomas e detectar casos da doença na cidade.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76" w:before="0" w:after="15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ab/>
              <w:t>A busca ativa ocorrerá nas 31 Unidades Básicas de Saúde (UBSs); nos Pronto-Atendimentos (PAs); Unidades Pré-Hospitalares (UPHs); Unidade de Pronto-Atendimento (UPA) do Éden; Serviço de Assistência Municipal Especializada (Same); Centro de Testagem e Aconselhamento (CTA) e no Hospital Psiquiátrico Vera Cruz. O Centro de Detenção Provisória (CDP) de Aparecidinha, Fundação Casa e as penitenciárias da cidade também vão participar da iniciativa.</w:t>
            </w:r>
          </w:p>
          <w:p>
            <w:pPr>
              <w:pStyle w:val="Corpodetexto"/>
              <w:widowControl/>
              <w:spacing w:lineRule="auto" w:line="276" w:before="0" w:after="15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ab/>
              <w:t xml:space="preserve">O tratamento contra a tuberculose dura seis meses e é exclusivamente realizado pela rede pública de saúde. É feito à base de quatro antibióticos, que devem ser tomados diariamente ao longo do tratamento todo. O acesso aos medicamentos, que não são vendidos em farmácias, é somente via rede municipal de saúde. </w:t>
            </w:r>
          </w:p>
          <w:p>
            <w:pPr>
              <w:pStyle w:val="Corpodetexto"/>
              <w:widowControl/>
              <w:spacing w:lineRule="auto" w:line="360" w:before="0" w:after="15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Eduardo Santinon 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carolina Chinelatto – Programa de Estádio sob supervisão de Tânia Franco.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2016-02-25T12:28:06Z</cp:lastPrinted>
  <dcterms:modified xsi:type="dcterms:W3CDTF">2016-02-25T12:52:19Z</dcterms:modified>
  <cp:revision>24</cp:revision>
</cp:coreProperties>
</file>