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203" w:type="dxa"/>
        <w:jc w:val="left"/>
        <w:tblInd w:w="-439" w:type="dxa"/>
        <w:tblBorders>
          <w:top w:val="single" w:sz="2" w:space="0" w:color="000001"/>
          <w:left w:val="single" w:sz="2" w:space="0" w:color="000001"/>
          <w:bottom w:val="single" w:sz="2" w:space="0" w:color="000001"/>
          <w:insideH w:val="single" w:sz="2" w:space="0" w:color="000001"/>
        </w:tblBorders>
        <w:tblCellMar>
          <w:top w:w="55" w:type="dxa"/>
          <w:left w:w="24" w:type="dxa"/>
          <w:bottom w:w="55" w:type="dxa"/>
          <w:right w:w="55" w:type="dxa"/>
        </w:tblCellMar>
      </w:tblPr>
      <w:tblGrid>
        <w:gridCol w:w="1650"/>
        <w:gridCol w:w="8553"/>
      </w:tblGrid>
      <w:tr>
        <w:trPr>
          <w:trHeight w:val="360" w:hRule="atLeast"/>
        </w:trPr>
        <w:tc>
          <w:tcPr>
            <w:tcW w:w="1650" w:type="dxa"/>
            <w:tcBorders>
              <w:top w:val="single" w:sz="2" w:space="0" w:color="000001"/>
              <w:left w:val="single" w:sz="2" w:space="0" w:color="000001"/>
              <w:bottom w:val="single" w:sz="2" w:space="0" w:color="000001"/>
              <w:insideH w:val="single" w:sz="2" w:space="0" w:color="000001"/>
            </w:tcBorders>
            <w:shd w:fill="auto" w:val="clear"/>
            <w:tcMar>
              <w:left w:w="24" w:type="dxa"/>
            </w:tcMar>
          </w:tcPr>
          <w:p>
            <w:pPr>
              <w:pStyle w:val="Contedodatabela"/>
              <w:snapToGrid w:val="false"/>
              <w:spacing w:lineRule="auto" w:line="240"/>
              <w:jc w:val="both"/>
              <w:rPr/>
            </w:pPr>
            <w:r>
              <w:rPr>
                <w:rFonts w:cs="Verdana" w:ascii="Verdana" w:hAnsi="Verdana"/>
                <w:b/>
                <w:bCs/>
                <w:sz w:val="16"/>
                <w:szCs w:val="16"/>
              </w:rPr>
              <w:t>05</w:t>
            </w:r>
            <w:r>
              <w:rPr>
                <w:rFonts w:cs="Verdana" w:ascii="Verdana" w:hAnsi="Verdana"/>
                <w:b/>
                <w:bCs/>
                <w:sz w:val="16"/>
                <w:szCs w:val="16"/>
              </w:rPr>
              <w:t>/02/16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5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4" w:type="dxa"/>
            </w:tcMar>
          </w:tcPr>
          <w:p>
            <w:pPr>
              <w:pStyle w:val="Corpodetexto"/>
              <w:spacing w:lineRule="auto" w:line="276" w:before="0" w:after="0"/>
              <w:ind w:left="0" w:right="0" w:firstLine="567"/>
              <w:jc w:val="center"/>
              <w:rPr>
                <w:rFonts w:ascii="Verdana;sans-serif" w:hAnsi="Verdana;sans-serif" w:cs="Calibri"/>
                <w:b/>
                <w:b/>
                <w:bCs/>
                <w:color w:val="000000"/>
                <w:sz w:val="27"/>
                <w:szCs w:val="22"/>
              </w:rPr>
            </w:pPr>
            <w:bookmarkStart w:id="0" w:name="__DdeLink__40_476486937"/>
            <w:bookmarkEnd w:id="0"/>
            <w:r>
              <w:rPr>
                <w:rFonts w:cs="Calibri" w:ascii="Verdana" w:hAnsi="Verdana"/>
                <w:b/>
                <w:bCs/>
                <w:color w:val="000000"/>
                <w:sz w:val="22"/>
                <w:szCs w:val="22"/>
              </w:rPr>
              <w:t>SES adota novo protocolo de atendimento a casos de dengue, chikungunya e zika</w:t>
            </w:r>
          </w:p>
        </w:tc>
      </w:tr>
      <w:tr>
        <w:trPr>
          <w:trHeight w:val="81" w:hRule="atLeast"/>
        </w:trPr>
        <w:tc>
          <w:tcPr>
            <w:tcW w:w="1650" w:type="dxa"/>
            <w:tcBorders>
              <w:top w:val="single" w:sz="2" w:space="0" w:color="000001"/>
              <w:left w:val="single" w:sz="2" w:space="0" w:color="000001"/>
              <w:bottom w:val="single" w:sz="2" w:space="0" w:color="000001"/>
              <w:insideH w:val="single" w:sz="2" w:space="0" w:color="000001"/>
            </w:tcBorders>
            <w:shd w:fill="auto" w:val="clear"/>
            <w:tcMar>
              <w:left w:w="24"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18"/>
                <w:szCs w:val="18"/>
              </w:rPr>
            </w:pPr>
            <w:r>
              <w:rPr/>
            </w:r>
          </w:p>
          <w:p>
            <w:pPr>
              <w:pStyle w:val="Ecxwestern"/>
              <w:shd w:val="clear" w:fill="FFFFFF"/>
              <w:spacing w:lineRule="auto" w:line="360" w:before="0" w:after="0"/>
              <w:ind w:left="0" w:right="0" w:hanging="0"/>
              <w:jc w:val="both"/>
              <w:rPr>
                <w:rFonts w:ascii="Verdana" w:hAnsi="Verdana" w:cs="Verdana"/>
                <w:b/>
                <w:b/>
                <w:bCs/>
                <w:color w:val="000000"/>
                <w:sz w:val="18"/>
                <w:szCs w:val="18"/>
              </w:rPr>
            </w:pPr>
            <w:r>
              <w:rPr/>
            </w:r>
          </w:p>
          <w:p>
            <w:pPr>
              <w:pStyle w:val="Ecxwestern"/>
              <w:shd w:val="clear" w:fill="FFFFFF"/>
              <w:spacing w:lineRule="auto" w:line="360" w:before="0" w:after="0"/>
              <w:ind w:left="0" w:right="0" w:hanging="0"/>
              <w:jc w:val="both"/>
              <w:rPr>
                <w:rFonts w:ascii="Verdana" w:hAnsi="Verdana" w:cs="Verdana"/>
                <w:b/>
                <w:b/>
                <w:bCs/>
                <w:color w:val="000000"/>
                <w:sz w:val="18"/>
                <w:szCs w:val="18"/>
              </w:rPr>
            </w:pPr>
            <w:r>
              <w:rPr/>
            </w:r>
          </w:p>
          <w:p>
            <w:pPr>
              <w:pStyle w:val="Ecxwestern"/>
              <w:shd w:val="clear" w:fill="FFFFFF"/>
              <w:spacing w:lineRule="auto" w:line="360" w:before="0" w:after="0"/>
              <w:ind w:left="0" w:right="0" w:hanging="0"/>
              <w:jc w:val="both"/>
              <w:rPr/>
            </w:pPr>
            <w:r>
              <w:rPr>
                <w:rFonts w:cs="Verdana" w:ascii="Verdana" w:hAnsi="Verdana"/>
                <w:b/>
                <w:bCs/>
                <w:color w:val="000000"/>
                <w:sz w:val="18"/>
                <w:szCs w:val="18"/>
              </w:rPr>
              <w:t xml:space="preserve">TEXTO/ </w:t>
            </w:r>
          </w:p>
          <w:p>
            <w:pPr>
              <w:pStyle w:val="Ecxwestern"/>
              <w:shd w:val="clear" w:fill="FFFFFF"/>
              <w:spacing w:lineRule="auto" w:line="360" w:before="0" w:after="0"/>
              <w:ind w:left="0" w:right="0" w:hanging="0"/>
              <w:jc w:val="both"/>
              <w:rPr/>
            </w:pPr>
            <w:r>
              <w:rPr>
                <w:rFonts w:cs="Verdana" w:ascii="Verdana" w:hAnsi="Verdana"/>
                <w:b/>
                <w:bCs/>
                <w:color w:val="000000"/>
                <w:sz w:val="18"/>
                <w:szCs w:val="18"/>
              </w:rPr>
              <w:t>ÁUDIO</w:t>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5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4" w:type="dxa"/>
            </w:tcMar>
          </w:tcPr>
          <w:p>
            <w:pPr>
              <w:pStyle w:val="Corpodetexto"/>
              <w:spacing w:before="0" w:after="0"/>
              <w:ind w:left="0" w:right="0" w:hanging="0"/>
              <w:rPr>
                <w:rFonts w:ascii="Verdana" w:hAnsi="Verdana"/>
                <w:sz w:val="22"/>
                <w:szCs w:val="22"/>
              </w:rPr>
            </w:pPr>
            <w:r>
              <w:rPr>
                <w:rFonts w:cs="Arial"/>
                <w:b/>
                <w:bCs/>
                <w:color w:val="000000"/>
                <w:sz w:val="18"/>
                <w:szCs w:val="18"/>
              </w:rPr>
            </w:r>
          </w:p>
          <w:p>
            <w:pPr>
              <w:pStyle w:val="Corpodetexto"/>
              <w:spacing w:lineRule="auto" w:line="240"/>
              <w:ind w:left="0" w:right="0" w:firstLine="567"/>
              <w:jc w:val="both"/>
              <w:rPr>
                <w:rFonts w:ascii="Verdana" w:hAnsi="Verdana"/>
                <w:color w:val="00000A"/>
                <w:sz w:val="22"/>
                <w:szCs w:val="22"/>
              </w:rPr>
            </w:pPr>
            <w:r>
              <w:rPr>
                <w:rFonts w:ascii="Verdana" w:hAnsi="Verdana"/>
                <w:color w:val="00000A"/>
                <w:sz w:val="22"/>
                <w:szCs w:val="22"/>
              </w:rPr>
              <w:t xml:space="preserve">A Área de Vigilância em Saúde, da Secretaria da Saúde de Sorocaba, passou a adotar um novo protocolo de atendimento e encaminhamento de casos suspeitos ou confirmados de dengue, chikungunya e zika. </w:t>
            </w:r>
          </w:p>
          <w:p>
            <w:pPr>
              <w:pStyle w:val="Corpodetexto"/>
              <w:spacing w:lineRule="auto" w:line="240"/>
              <w:ind w:left="0" w:right="0" w:firstLine="567"/>
              <w:jc w:val="both"/>
              <w:rPr>
                <w:rFonts w:ascii="Verdana" w:hAnsi="Verdana"/>
                <w:color w:val="00000A"/>
                <w:sz w:val="22"/>
                <w:szCs w:val="22"/>
              </w:rPr>
            </w:pPr>
            <w:r>
              <w:rPr>
                <w:rFonts w:ascii="Verdana" w:hAnsi="Verdana"/>
                <w:color w:val="00000A"/>
                <w:sz w:val="22"/>
                <w:szCs w:val="22"/>
              </w:rPr>
              <w:t xml:space="preserve">A medida é uma forma de agilizar e dar mais qualidade ao processo de notificação das ocorrências e atendimento aos pacientes. </w:t>
            </w:r>
          </w:p>
          <w:p>
            <w:pPr>
              <w:pStyle w:val="Corpodetexto"/>
              <w:spacing w:lineRule="auto" w:line="240"/>
              <w:ind w:left="0" w:right="0" w:firstLine="567"/>
              <w:jc w:val="both"/>
              <w:rPr>
                <w:rFonts w:ascii="Verdana" w:hAnsi="Verdana"/>
                <w:color w:val="00000A"/>
                <w:sz w:val="22"/>
                <w:szCs w:val="22"/>
              </w:rPr>
            </w:pPr>
            <w:r>
              <w:rPr>
                <w:rFonts w:ascii="Verdana" w:hAnsi="Verdana"/>
                <w:color w:val="00000A"/>
                <w:sz w:val="22"/>
                <w:szCs w:val="22"/>
              </w:rPr>
              <w:t xml:space="preserve">A Nota Informativa 01/2016 foi lançada no último dia 1º de fevereiro e abrange diretrizes a serem seguidas, inclusive, pela rede particular de saúde. Algumas das medidas já eram adotadas desde o ano passado. </w:t>
            </w:r>
          </w:p>
          <w:p>
            <w:pPr>
              <w:pStyle w:val="Corpodetexto"/>
              <w:spacing w:lineRule="auto" w:line="240"/>
              <w:ind w:left="0" w:right="0" w:firstLine="567"/>
              <w:jc w:val="both"/>
              <w:rPr>
                <w:rFonts w:ascii="Verdana" w:hAnsi="Verdana"/>
                <w:color w:val="00000A"/>
                <w:sz w:val="22"/>
                <w:szCs w:val="22"/>
              </w:rPr>
            </w:pPr>
            <w:r>
              <w:rPr>
                <w:rFonts w:ascii="Verdana" w:hAnsi="Verdana"/>
                <w:color w:val="00000A"/>
                <w:sz w:val="22"/>
                <w:szCs w:val="22"/>
              </w:rPr>
              <w:t xml:space="preserve">Como tem ocorrido, todo caso suspeito deverá ser notificado e a coleta da sorologia realizada no mesmo momento, independente do período de sintomas que o paciente apresente. A nota também estabelece fluxos de transporte de amostras entre as unidades de saúde, classificação de risco dos pacientes com dengue e os impressos a serem utilizados pela assistência. </w:t>
            </w:r>
          </w:p>
          <w:p>
            <w:pPr>
              <w:pStyle w:val="Corpodetexto"/>
              <w:spacing w:lineRule="auto" w:line="240"/>
              <w:ind w:left="0" w:right="0" w:firstLine="567"/>
              <w:jc w:val="both"/>
              <w:rPr>
                <w:rFonts w:ascii="Verdana" w:hAnsi="Verdana"/>
                <w:color w:val="00000A"/>
                <w:sz w:val="22"/>
                <w:szCs w:val="22"/>
              </w:rPr>
            </w:pPr>
            <w:r>
              <w:rPr>
                <w:rFonts w:ascii="Verdana" w:hAnsi="Verdana"/>
                <w:color w:val="00000A"/>
                <w:sz w:val="22"/>
                <w:szCs w:val="22"/>
              </w:rPr>
              <w:t xml:space="preserve">A nota reforça a necessidade da coleta de sangue para exame diagnóstico, com um tubo de sangue para cada doença suspeita, sendo que para zika e chikungunya o exame somente será realizado caso seja descartada a suspeita de dengue. </w:t>
            </w:r>
          </w:p>
          <w:p>
            <w:pPr>
              <w:pStyle w:val="Corpodetexto"/>
              <w:spacing w:lineRule="auto" w:line="240"/>
              <w:ind w:left="0" w:right="0" w:firstLine="567"/>
              <w:jc w:val="both"/>
              <w:rPr>
                <w:rFonts w:ascii="Verdana" w:hAnsi="Verdana"/>
                <w:color w:val="00000A"/>
                <w:sz w:val="22"/>
                <w:szCs w:val="22"/>
              </w:rPr>
            </w:pPr>
            <w:r>
              <w:rPr>
                <w:rFonts w:ascii="Verdana" w:hAnsi="Verdana"/>
                <w:color w:val="00000A"/>
                <w:sz w:val="22"/>
                <w:szCs w:val="22"/>
              </w:rPr>
              <w:t xml:space="preserve">No caso de resultado de detecção de antígeno negativo para dengue, deverá se procedida a coleta de nova amostra para a realização da sorologia (para exame IgM), antes de descarte do caso. </w:t>
            </w:r>
          </w:p>
          <w:p>
            <w:pPr>
              <w:pStyle w:val="Corpodetexto"/>
              <w:spacing w:lineRule="auto" w:line="240"/>
              <w:ind w:left="0" w:right="0" w:firstLine="567"/>
              <w:jc w:val="both"/>
              <w:rPr>
                <w:rFonts w:ascii="Verdana" w:hAnsi="Verdana"/>
                <w:color w:val="00000A"/>
                <w:sz w:val="22"/>
                <w:szCs w:val="22"/>
              </w:rPr>
            </w:pPr>
            <w:r>
              <w:rPr>
                <w:rFonts w:ascii="Verdana" w:hAnsi="Verdana"/>
                <w:color w:val="00000A"/>
                <w:sz w:val="22"/>
                <w:szCs w:val="22"/>
              </w:rPr>
              <w:t xml:space="preserve">Outra novidade é quanto ao encaminhamento de pacientes com sangramento de pele espontâneo ou induzido (Prova do laço positiva), ou em condições especiais, risco social ou que apresente comorbidade que, após atendimento inicial, deve ser encaminhado para uma unidade de referência. </w:t>
            </w:r>
          </w:p>
          <w:p>
            <w:pPr>
              <w:pStyle w:val="Corpodetexto"/>
              <w:spacing w:lineRule="auto" w:line="240"/>
              <w:ind w:left="0" w:right="0" w:firstLine="567"/>
              <w:jc w:val="both"/>
              <w:rPr>
                <w:rFonts w:ascii="Verdana" w:hAnsi="Verdana"/>
                <w:color w:val="00000A"/>
                <w:sz w:val="22"/>
                <w:szCs w:val="22"/>
              </w:rPr>
            </w:pPr>
            <w:r>
              <w:rPr>
                <w:rFonts w:ascii="Verdana" w:hAnsi="Verdana"/>
                <w:color w:val="00000A"/>
                <w:sz w:val="22"/>
                <w:szCs w:val="22"/>
              </w:rPr>
              <w:t>De três disponíveis (Unidades Pré-Hospitalares – UPHs - Zona Norte, Leste e Oeste), passaram para seis, incluindo a Unidade de Pronto-Atendimento (UPA) 24 Horas do Éden, e os Pronto-Atendimentios (PAs) São Guilherme e Parque das Laranjeiras.</w:t>
            </w:r>
          </w:p>
          <w:p>
            <w:pPr>
              <w:pStyle w:val="Corpodetexto"/>
              <w:spacing w:before="0" w:after="0"/>
              <w:ind w:left="0" w:right="0" w:firstLine="567"/>
              <w:rPr>
                <w:rFonts w:ascii="Verdana" w:hAnsi="Verdana"/>
                <w:sz w:val="22"/>
                <w:szCs w:val="22"/>
              </w:rPr>
            </w:pPr>
            <w:r>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before="0" w:after="0"/>
              <w:ind w:left="0" w:right="0" w:hanging="0"/>
              <w:rPr/>
            </w:pPr>
            <w:r>
              <w:rPr>
                <w:rFonts w:ascii="Verdana" w:hAnsi="Verdana"/>
                <w:b/>
                <w:bCs/>
                <w:color w:val="000000"/>
                <w:sz w:val="24"/>
                <w:szCs w:val="24"/>
              </w:rPr>
              <w:t>EDUARDO SANTINON</w:t>
            </w:r>
          </w:p>
          <w:p>
            <w:pPr>
              <w:pStyle w:val="Corpodetexto"/>
              <w:spacing w:before="0" w:after="0"/>
              <w:ind w:left="0" w:right="0" w:hanging="0"/>
              <w:rPr/>
            </w:pPr>
            <w:r>
              <w:rPr>
                <w:rFonts w:cs="Arial" w:ascii="Verdana" w:hAnsi="Verdana"/>
                <w:b/>
                <w:bCs/>
                <w:color w:val="000000"/>
                <w:sz w:val="24"/>
                <w:szCs w:val="24"/>
              </w:rPr>
              <w:t>D</w:t>
            </w:r>
            <w:r>
              <w:rPr>
                <w:rFonts w:cs="Arial" w:ascii="Verdana" w:hAnsi="Verdana"/>
                <w:b/>
                <w:bCs/>
                <w:color w:val="000000"/>
                <w:sz w:val="24"/>
                <w:szCs w:val="24"/>
              </w:rPr>
              <w:t>OUGLAS VALLE</w:t>
            </w:r>
          </w:p>
          <w:p>
            <w:pPr>
              <w:pStyle w:val="Corpodetexto"/>
              <w:spacing w:before="0" w:after="0"/>
              <w:ind w:left="0" w:right="0" w:hanging="0"/>
              <w:rPr>
                <w:rFonts w:ascii="Verdana" w:hAnsi="Verdana" w:cs="Arial"/>
                <w:b/>
                <w:b/>
                <w:bCs/>
                <w:color w:val="000000"/>
                <w:sz w:val="24"/>
                <w:szCs w:val="24"/>
              </w:rPr>
            </w:pPr>
            <w:r>
              <w:rPr/>
            </w:r>
          </w:p>
          <w:p>
            <w:pPr>
              <w:pStyle w:val="Corpodetexto"/>
              <w:spacing w:before="0" w:after="120"/>
              <w:rPr>
                <w:rStyle w:val="LinkdaInternet"/>
                <w:rFonts w:ascii="Times New Roman" w:hAnsi="Times New Roman" w:cs="Arial"/>
                <w:b/>
                <w:b/>
                <w:bCs/>
                <w:color w:val="000000"/>
                <w:sz w:val="18"/>
                <w:szCs w:val="18"/>
              </w:rPr>
            </w:pPr>
            <w:r>
              <w:rPr/>
              <w:t>Material distribuído de forma gratuita pela Agência Sorocaba de Notícias da Assessoria de Comunicação da Prefeitura de Sorocaba. Acesse  http://agencia.sorocaba.sp.gov.br/audios/</w:t>
            </w:r>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auto"/>
    <w:pitch w:val="default"/>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162</TotalTime>
  <Application>LibreOffice/5.0.4.2$Windows_x86 LibreOffice_project/2b9802c1994aa0b7dc6079e128979269cf95bc78</Application>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2016-02-05T17:03:41Z</cp:lastPrinted>
  <dcterms:modified xsi:type="dcterms:W3CDTF">2016-02-05T17:13:17Z</dcterms:modified>
  <cp:revision>26</cp:revision>
</cp:coreProperties>
</file>