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74"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Contedodatabela"/>
              <w:snapToGrid w:val="false"/>
              <w:spacing w:lineRule="auto" w:line="240"/>
              <w:jc w:val="both"/>
              <w:rPr/>
            </w:pPr>
            <w:r>
              <w:rPr>
                <w:rFonts w:cs="Verdana" w:ascii="Verdana" w:hAnsi="Verdana"/>
                <w:b/>
                <w:bCs/>
                <w:sz w:val="16"/>
                <w:szCs w:val="16"/>
              </w:rPr>
              <w:t>17/02/16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Normal"/>
              <w:spacing w:before="0" w:after="0"/>
              <w:ind w:left="0" w:right="0" w:firstLine="567"/>
              <w:jc w:val="center"/>
              <w:rPr>
                <w:rFonts w:ascii="Verdana" w:hAnsi="Verdana" w:cs="Verdana"/>
                <w:b/>
                <w:b/>
                <w:bCs/>
                <w:sz w:val="30"/>
                <w:szCs w:val="30"/>
              </w:rPr>
            </w:pPr>
            <w:bookmarkStart w:id="0" w:name="__DdeLink__73_468103005"/>
            <w:r>
              <w:rPr>
                <w:rFonts w:cs="Calibri" w:ascii="Verdana" w:hAnsi="Verdana"/>
                <w:b/>
                <w:bCs/>
                <w:color w:val="000000"/>
                <w:sz w:val="22"/>
                <w:szCs w:val="22"/>
              </w:rPr>
              <w:t xml:space="preserve">Bairros da Zona Leste recebem operação </w:t>
              <w:br/>
              <w:t>cata-treco a partir de segunda-f</w:t>
            </w:r>
            <w:bookmarkEnd w:id="0"/>
            <w:r>
              <w:rPr>
                <w:rFonts w:cs="Calibri" w:ascii="Verdana" w:hAnsi="Verdana"/>
                <w:b/>
                <w:bCs/>
                <w:color w:val="000000"/>
                <w:sz w:val="22"/>
                <w:szCs w:val="22"/>
              </w:rPr>
              <w:t>eira</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Normal"/>
              <w:spacing w:lineRule="auto" w:line="360"/>
              <w:ind w:left="0" w:right="0" w:firstLine="408"/>
              <w:jc w:val="both"/>
              <w:rPr>
                <w:rFonts w:eastAsia="Verdana"/>
                <w:color w:val="000000"/>
              </w:rPr>
            </w:pPr>
            <w:r>
              <w:rPr>
                <w:rFonts w:cs="Verdana" w:ascii="Verdana" w:hAnsi="Verdana"/>
              </w:rPr>
            </w:r>
          </w:p>
          <w:p>
            <w:pPr>
              <w:pStyle w:val="Normal"/>
              <w:spacing w:lineRule="auto" w:line="240"/>
              <w:ind w:left="0" w:right="0" w:firstLine="408"/>
              <w:jc w:val="both"/>
              <w:rPr>
                <w:rFonts w:ascii="Verdana" w:hAnsi="Verdana" w:cs="Verdana"/>
              </w:rPr>
            </w:pPr>
            <w:r>
              <w:rPr>
                <w:rFonts w:eastAsia="Verdana" w:cs="Verdana" w:ascii="Verdana" w:hAnsi="Verdana"/>
                <w:color w:val="000000"/>
              </w:rPr>
              <w:tab/>
            </w:r>
            <w:r>
              <w:rPr>
                <w:rFonts w:eastAsia="Verdana" w:cs="Verdana" w:ascii="Verdana" w:hAnsi="Verdana"/>
                <w:color w:val="000000"/>
                <w:sz w:val="22"/>
                <w:szCs w:val="22"/>
              </w:rPr>
              <w:t xml:space="preserve">Serviço itinerante da Prefeitura, por meio da Secretaria de Serviços Públicos, a operação cata-treco percorre a partir da próxima segunda-feira </w:t>
            </w:r>
            <w:r>
              <w:rPr>
                <w:rFonts w:eastAsia="Verdana" w:cs="Verdana" w:ascii="Verdana" w:hAnsi="Verdana"/>
                <w:color w:val="000000"/>
                <w:sz w:val="22"/>
                <w:szCs w:val="22"/>
              </w:rPr>
              <w:t>dia 22</w:t>
            </w:r>
            <w:r>
              <w:rPr>
                <w:rFonts w:eastAsia="Verdana" w:cs="Verdana" w:ascii="Verdana" w:hAnsi="Verdana"/>
                <w:color w:val="000000"/>
                <w:sz w:val="22"/>
                <w:szCs w:val="22"/>
              </w:rPr>
              <w:t>, as ruas da Zona Leste. A partir das 9h, os caminhões estarão na Vilas Assis, Pinheiros e Vila Rica e os moradores que armazenam em suas casas móveis velhos, objetos ou qualquer outro material inservível e desejam descarta-los corretamente, devem deixá-los nas calçadas de suas casas.</w:t>
            </w:r>
          </w:p>
          <w:p>
            <w:pPr>
              <w:pStyle w:val="Normal"/>
              <w:spacing w:lineRule="auto" w:line="240"/>
              <w:ind w:left="0" w:right="0" w:firstLine="408"/>
              <w:jc w:val="both"/>
              <w:rPr>
                <w:rFonts w:ascii="Verdana" w:hAnsi="Verdana" w:eastAsia="Verdana" w:cs="Verdana"/>
                <w:color w:val="000000"/>
                <w:sz w:val="22"/>
                <w:szCs w:val="22"/>
              </w:rPr>
            </w:pPr>
            <w:r>
              <w:rPr>
                <w:rFonts w:eastAsia="Verdana" w:cs="Verdana" w:ascii="Verdana" w:hAnsi="Verdana"/>
                <w:color w:val="000000"/>
                <w:sz w:val="22"/>
                <w:szCs w:val="22"/>
              </w:rPr>
              <w:tab/>
              <w:t xml:space="preserve">A operação prossegue até a sexta-feira </w:t>
            </w:r>
            <w:r>
              <w:rPr>
                <w:rFonts w:eastAsia="Verdana" w:cs="Verdana" w:ascii="Verdana" w:hAnsi="Verdana"/>
                <w:color w:val="000000"/>
                <w:sz w:val="22"/>
                <w:szCs w:val="22"/>
              </w:rPr>
              <w:t xml:space="preserve">dia </w:t>
            </w:r>
            <w:r>
              <w:rPr>
                <w:rFonts w:eastAsia="Verdana" w:cs="Verdana" w:ascii="Verdana" w:hAnsi="Verdana"/>
                <w:color w:val="000000"/>
                <w:sz w:val="22"/>
                <w:szCs w:val="22"/>
              </w:rPr>
              <w:t xml:space="preserve">29 percorrendo os bairros da região. O cata-treco recolhe por onde passa, sucatas e utensílios domésticos em desuso, pneus, móveis, colchões, geladeiras, embalagens de vidro, metal, papel e de plástico. </w:t>
            </w:r>
          </w:p>
          <w:p>
            <w:pPr>
              <w:pStyle w:val="Normal"/>
              <w:spacing w:lineRule="auto" w:line="240"/>
              <w:ind w:left="0" w:right="0" w:firstLine="408"/>
              <w:jc w:val="both"/>
              <w:rPr>
                <w:rFonts w:ascii="Verdana" w:hAnsi="Verdana" w:eastAsia="Verdana" w:cs="Verdana"/>
                <w:color w:val="000000"/>
                <w:sz w:val="22"/>
                <w:szCs w:val="22"/>
              </w:rPr>
            </w:pPr>
            <w:r>
              <w:rPr>
                <w:rFonts w:eastAsia="Verdana" w:cs="Verdana" w:ascii="Verdana" w:hAnsi="Verdana"/>
                <w:color w:val="000000"/>
                <w:sz w:val="22"/>
                <w:szCs w:val="22"/>
              </w:rPr>
              <w:tab/>
              <w:t>Todo este material, normalmente, obrigaria o cidadão a contratar o serviço de uma empresa de caçambas para fazer o descarte de forma correta. Daí a razão pela qual os moradores devem aproveitar a passagem dos caminhões para se livrar de materiais inservíveis sem precisar pagar qualquer valor por isso. Além de atentar para a saúde preventiva da população, a operação cata-treco ainda colabora com o meio ambiente, pois evita que objetos sejam descartados em locais inapropriados.</w:t>
            </w:r>
          </w:p>
          <w:p>
            <w:pPr>
              <w:pStyle w:val="Normal"/>
              <w:spacing w:lineRule="auto" w:line="240"/>
              <w:ind w:left="0" w:right="0" w:firstLine="408"/>
              <w:jc w:val="both"/>
              <w:rPr>
                <w:sz w:val="22"/>
                <w:szCs w:val="22"/>
              </w:rPr>
            </w:pPr>
            <w:r>
              <w:rPr>
                <w:rFonts w:eastAsia="Verdana" w:cs="Verdana" w:ascii="Verdana" w:hAnsi="Verdana"/>
                <w:color w:val="000000"/>
                <w:sz w:val="22"/>
                <w:szCs w:val="22"/>
              </w:rPr>
              <w:tab/>
              <w:t xml:space="preserve">O sistema de recolhimento de materiais ainda atua na erradicação de possíveis criadouros do </w:t>
            </w:r>
            <w:r>
              <w:rPr>
                <w:rFonts w:eastAsia="Verdana" w:cs="Verdana" w:ascii="Verdana" w:hAnsi="Verdana"/>
                <w:i/>
                <w:iCs/>
                <w:color w:val="000000"/>
                <w:sz w:val="22"/>
                <w:szCs w:val="22"/>
              </w:rPr>
              <w:t xml:space="preserve">Aedes aegypti, </w:t>
            </w:r>
            <w:r>
              <w:rPr>
                <w:rFonts w:eastAsia="Verdana" w:cs="Verdana" w:ascii="Verdana" w:hAnsi="Verdana"/>
                <w:color w:val="000000"/>
                <w:sz w:val="22"/>
                <w:szCs w:val="22"/>
              </w:rPr>
              <w:t xml:space="preserve">transmissor da dengue e das febres zika e chikungunya. </w:t>
            </w:r>
          </w:p>
          <w:p>
            <w:pPr>
              <w:pStyle w:val="Normal"/>
              <w:spacing w:lineRule="auto" w:line="240"/>
              <w:ind w:left="0" w:right="0" w:firstLine="816"/>
              <w:jc w:val="both"/>
              <w:rPr>
                <w:rFonts w:ascii="Verdana" w:hAnsi="Verdana" w:eastAsia="Verdana" w:cs="Verdana"/>
                <w:color w:val="000000"/>
                <w:sz w:val="22"/>
                <w:szCs w:val="22"/>
              </w:rPr>
            </w:pPr>
            <w:r>
              <w:rPr>
                <w:rFonts w:eastAsia="Verdana" w:cs="Verdana" w:ascii="Verdana" w:hAnsi="Verdana"/>
                <w:color w:val="000000"/>
                <w:sz w:val="22"/>
                <w:szCs w:val="22"/>
              </w:rPr>
              <w:t xml:space="preserve">Esta é a décima sétima semana da ação iniciada em outubro, resultando em mais de 580 toneladas de materiais recolhidos das residências sorocabanas de dezenas de bairros da área urbana. Não são recolhidos nesta ação lixo domiciliar, entulho (resíduos de construção), resíduos de capina e poda (folhas, galhos e mato em geral). </w:t>
            </w:r>
          </w:p>
          <w:p>
            <w:pPr>
              <w:pStyle w:val="Normal"/>
              <w:spacing w:lineRule="auto" w:line="240"/>
              <w:ind w:left="0" w:right="0" w:firstLine="408"/>
              <w:jc w:val="both"/>
              <w:rPr>
                <w:rFonts w:ascii="Verdana" w:hAnsi="Verdana" w:cs="Verdana"/>
                <w:sz w:val="22"/>
                <w:szCs w:val="22"/>
              </w:rPr>
            </w:pPr>
            <w:r>
              <w:rPr>
                <w:rFonts w:cs="Verdana" w:ascii="Verdana" w:hAnsi="Verdana"/>
                <w:sz w:val="22"/>
                <w:szCs w:val="22"/>
              </w:rPr>
              <w:t>A programação completa você confere no poratl sorocaba.sp.gov.br/servicospublicos.</w:t>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b/>
                <w:b/>
                <w:bCs/>
              </w:rPr>
            </w:pPr>
            <w:r>
              <w:rPr>
                <w:rFonts w:ascii="Verdana" w:hAnsi="Verdana"/>
                <w:b/>
                <w:bCs/>
                <w:color w:val="000000"/>
                <w:sz w:val="24"/>
                <w:szCs w:val="24"/>
              </w:rPr>
              <w:t>Claudio Rostellato</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t>Douglas Valle</w:t>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spacing w:lineRule="auto" w:line="276"/>
      </w:pPr>
    </w:pPrDefault>
  </w:docDefaults>
  <w:style w:type="paragraph" w:styleId="Normal">
    <w:name w:val="Normal"/>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Ecxappleconvertedspace">
    <w:name w:val="ecxapple-converted-space"/>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WWTtulo2">
    <w:name w:val="WW-Título2"/>
    <w:basedOn w:val="Ttulo5"/>
    <w:next w:val="Corpodetexto"/>
    <w:qFormat/>
    <w:pPr>
      <w:jc w:val="center"/>
    </w:pPr>
    <w:rPr>
      <w:b/>
      <w:bCs/>
      <w:sz w:val="56"/>
      <w:szCs w:val="56"/>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138</TotalTime>
  <Application>LibreOffice/5.0.4.2$Windows_x86 LibreOffice_project/2b9802c1994aa0b7dc6079e128979269cf95bc78</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2016-02-19T15:24:03Z</dcterms:modified>
  <cp:revision>23</cp:revision>
</cp:coreProperties>
</file>