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Normal"/>
              <w:spacing w:lineRule="auto" w:line="240" w:before="0" w:after="0"/>
              <w:ind w:left="0" w:right="0" w:firstLine="408"/>
              <w:jc w:val="both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bookmarkStart w:id="0" w:name="__DdeLink__79_468103005"/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z w:val="24"/>
                <w:szCs w:val="24"/>
              </w:rPr>
              <w:t>SES prioriza distribuição de sete tipos de vacina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Normal"/>
              <w:spacing w:lineRule="auto" w:line="240"/>
              <w:ind w:left="0" w:right="0" w:firstLine="4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A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 Divisão de Vigilância Epidemiológica da Secretaria da Saúde  de Sorocaba mantém o esquema de priorizar a distribuição das vacinas Antirrábica humana, contra Varicela e Hepatites A 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(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pediátrica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)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 e B, devido ao estoque reduzido e à falta de repasses regulares por parte do Ministério da Saúde. O esquema também abrange a distribuição das doses da Dupla adulto (dT), Tetraviral e da oral contra a poliomielite (VOP). O objetivo, no momento, é garantir o atendimento dos casos de emergência e urgência.</w:t>
            </w:r>
          </w:p>
          <w:p>
            <w:pPr>
              <w:pStyle w:val="Corpodetexto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ab/>
              <w:t xml:space="preserve">A DVE informa que recebeu a última grade mensal de vacinas no dia 10 de fevereiro, porém, as vacinas que estavam em falta não vieram. Agravante é que os estoques para esses três tipos de vacinas, na central do setor, estão zerados. </w:t>
            </w:r>
          </w:p>
          <w:p>
            <w:pPr>
              <w:pStyle w:val="Corpodetexto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ab/>
              <w:t>Em nota informativa, divulgada em 30 de dezembro pelo MS, consta que, em geral, há indisponibilidade das vacinas nos mercados nacional e internacional, o que tem dificultado a compra. “O problema é geral, não é só Sorocaba que está sendo afetada. Até tentamos comprar por fora, mas também não conseguimos vendedores”, revela.</w:t>
            </w:r>
          </w:p>
          <w:p>
            <w:pPr>
              <w:pStyle w:val="Corpodetexto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ab/>
              <w:t xml:space="preserve">Enquanto a situação não é regularizada, as equipes das unidades de saúde do município estão orientadas a proceder da melhor maneira possível na utilização do restante das doses e quanto aos procedimentos adotados, a fim de garantir o atendimento aos casos emergenciais. </w:t>
            </w:r>
          </w:p>
          <w:p>
            <w:pPr>
              <w:pStyle w:val="Corpodetexto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2"/>
                <w:szCs w:val="22"/>
              </w:rPr>
              <w:t>Vacinas</w:t>
            </w:r>
          </w:p>
          <w:p>
            <w:pPr>
              <w:pStyle w:val="Corpodetexto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ab/>
              <w:t xml:space="preserve">A situação mais crítica em Sorocaba refere-se às vacinas contra Varicela e Hepatites A. </w:t>
            </w:r>
          </w:p>
          <w:p>
            <w:pPr>
              <w:pStyle w:val="Corpodetexto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ab/>
              <w:t xml:space="preserve">No caso de Hepatite B, as remessas enviadas nos últimos meses são inferiores ao solicitado para atender à demanda. </w:t>
            </w:r>
          </w:p>
          <w:p>
            <w:pPr>
              <w:pStyle w:val="Corpodetexto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ab/>
              <w:t>Quanto à Antirrábica (humana), a prioridade é ministrá-la a pacientes em situação de pós-exposição e de reexposição ao vírus da doença. Além das UBSs, o quantitativo restante dessa vacina está distribuído pelas Unidades Pré-Hospitalares (UPHs), de Pronto-Atendimentos (PAs) e na UPA Éden.</w:t>
            </w:r>
          </w:p>
          <w:p>
            <w:pPr>
              <w:pStyle w:val="Corpodetexto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ab/>
              <w:t xml:space="preserve">Em janeiro houve normalização da Dupla Adulto, que também estava em falta, mas a quantidade voltou a baixar. Por isso, essa vacina está sendo administrada apenas para gestantes (início e conclusão de esquemas já iniciados) e no tratamento profilático de tétano, após ferimento. </w:t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b/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Eduardo Santinon</w:t>
            </w:r>
          </w:p>
          <w:p>
            <w:pPr>
              <w:pStyle w:val="Corpodetexto"/>
              <w:spacing w:before="0" w:after="0"/>
              <w:ind w:left="0" w:right="0" w:hanging="0"/>
              <w:rPr>
                <w:b/>
                <w:b/>
                <w:bCs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Ecxappleconvertedspace">
    <w:name w:val="ecxapple-converted-space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WWTtulo2">
    <w:name w:val="WW-Título2"/>
    <w:basedOn w:val="Ttulo5"/>
    <w:next w:val="Corpodetexto"/>
    <w:qFormat/>
    <w:pPr>
      <w:jc w:val="center"/>
    </w:pPr>
    <w:rPr>
      <w:b/>
      <w:bCs/>
      <w:sz w:val="56"/>
      <w:szCs w:val="56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2016-02-19T15:24:23Z</cp:lastPrinted>
  <dcterms:modified xsi:type="dcterms:W3CDTF">2016-02-19T15:29:37Z</dcterms:modified>
  <cp:revision>24</cp:revision>
</cp:coreProperties>
</file>