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64"/>
        <w:gridCol w:w="8678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96_1172235612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Prefeitura abre agenda de visitação aos </w:t>
            </w:r>
          </w:p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1" w:name="__DdeLink__96_1172235612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parques ecológicos de Sorocaba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Escolas, ou outros grupos com até 40 pessoas, interessados em promover atividades diferenciadas de Educação Ambiental já podem fazer o agendamento para as visitas monitoradas em seis parques ecológicos de Sorocaba: Zoológico Municipal "Quinzinho de Barros", Jardim Botânico “Irmãos Villas-Bôas”, Biquinha, Água Vermelha "João Câncio Pereira", "Chico Mendes" e Natural Municipal Corredores de Biodiversidade. A atividade de Educação Ambiental é gratuita.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Promovidas pela Prefeitura de Sorocaba, por meio da Secretaria do Meio Ambiente, as ações educativas atendem às necessidades de diferentes tipos de público e são diversificadas.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Cada parque possui uma temática e uma estratégia diferenciada para utilização de seu espaço, de acordo com o seu potencial. Desta forma, o munícipe terá contato com diferentes assuntos e atividades voltadas para a sensibilização e a educação ambiental.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participar das visitas monitoradas é necessário que as escolas ou grupos façam um agendamento através do site da Secretaria do Meio Ambiente: meioambiente.sorocaba.sp.gov.br. Basta entrar na opção “Educação Ambiental”, selecionar a opção “Agendamento de visitas monitoradas nos parques” e preencher um formulário eletrônico com as informações solicitadas.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Conforme a Secretaria do Meio Ambiente, os agendamentos deverão ser solicitados como uma antecedência mínima de 15 dias. As datas só serão confirmadas mediante a disponibilidade de atendimento de cada parque.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  <w:t>ADRIANA MASSA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2016-02-01T16:09:01Z</dcterms:modified>
  <cp:revision>17</cp:revision>
</cp:coreProperties>
</file>