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42" w:type="dxa"/>
        <w:jc w:val="left"/>
        <w:tblInd w:w="-272" w:type="dxa"/>
        <w:tblBorders>
          <w:top w:val="single" w:sz="2" w:space="0" w:color="000001"/>
          <w:left w:val="single" w:sz="2" w:space="0" w:color="000001"/>
          <w:bottom w:val="single" w:sz="2" w:space="0" w:color="000001"/>
          <w:insideH w:val="single" w:sz="2" w:space="0" w:color="000001"/>
        </w:tblBorders>
        <w:tblCellMar>
          <w:top w:w="55" w:type="dxa"/>
          <w:left w:w="24" w:type="dxa"/>
          <w:bottom w:w="55" w:type="dxa"/>
          <w:right w:w="55" w:type="dxa"/>
        </w:tblCellMar>
      </w:tblPr>
      <w:tblGrid>
        <w:gridCol w:w="1361"/>
        <w:gridCol w:w="8680"/>
      </w:tblGrid>
      <w:tr>
        <w:trPr>
          <w:trHeight w:val="360" w:hRule="atLeast"/>
        </w:trPr>
        <w:tc>
          <w:tcPr>
            <w:tcW w:w="1361" w:type="dxa"/>
            <w:tcBorders>
              <w:top w:val="single" w:sz="2" w:space="0" w:color="000001"/>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240"/>
              <w:jc w:val="both"/>
              <w:rPr/>
            </w:pPr>
            <w:r>
              <w:rPr>
                <w:rFonts w:cs="Verdana" w:ascii="Verdana" w:hAnsi="Verdana"/>
                <w:b/>
                <w:bCs/>
                <w:sz w:val="16"/>
                <w:szCs w:val="16"/>
              </w:rPr>
              <w:t>02/02/16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Normal"/>
              <w:spacing w:before="0" w:after="0"/>
              <w:ind w:left="0" w:right="0" w:firstLine="567"/>
              <w:jc w:val="center"/>
              <w:rPr>
                <w:rFonts w:ascii="Verdana" w:hAnsi="Verdana"/>
                <w:b/>
                <w:b/>
                <w:color w:val="000000"/>
                <w:sz w:val="32"/>
                <w:szCs w:val="24"/>
              </w:rPr>
            </w:pPr>
            <w:bookmarkStart w:id="0" w:name="__DdeLink__62_1081896953"/>
            <w:r>
              <w:rPr>
                <w:rFonts w:ascii="Verdana" w:hAnsi="Verdana"/>
                <w:b/>
                <w:color w:val="000000"/>
                <w:sz w:val="32"/>
                <w:szCs w:val="24"/>
              </w:rPr>
              <w:t xml:space="preserve">Avançam as obras de </w:t>
            </w:r>
            <w:r>
              <w:rPr>
                <w:rFonts w:cs="Calibri" w:ascii="Verdana" w:hAnsi="Verdana"/>
                <w:b/>
                <w:bCs/>
                <w:color w:val="000000"/>
                <w:sz w:val="32"/>
                <w:szCs w:val="24"/>
              </w:rPr>
              <w:t xml:space="preserve">construção </w:t>
            </w:r>
          </w:p>
          <w:p>
            <w:pPr>
              <w:pStyle w:val="Normal"/>
              <w:spacing w:before="0" w:after="0"/>
              <w:ind w:left="0" w:right="0" w:firstLine="567"/>
              <w:jc w:val="center"/>
              <w:rPr>
                <w:rFonts w:ascii="Verdana" w:hAnsi="Verdana"/>
                <w:b/>
                <w:b/>
                <w:color w:val="000000"/>
                <w:sz w:val="32"/>
                <w:szCs w:val="24"/>
              </w:rPr>
            </w:pPr>
            <w:bookmarkStart w:id="1" w:name="__DdeLink__62_1081896953"/>
            <w:bookmarkEnd w:id="1"/>
            <w:r>
              <w:rPr>
                <w:rFonts w:cs="Calibri" w:ascii="Verdana" w:hAnsi="Verdana"/>
                <w:b/>
                <w:bCs/>
                <w:color w:val="000000"/>
                <w:sz w:val="32"/>
                <w:szCs w:val="24"/>
              </w:rPr>
              <w:t>da Arena Multiúso</w:t>
            </w:r>
          </w:p>
        </w:tc>
      </w:tr>
      <w:tr>
        <w:trPr>
          <w:trHeight w:val="81" w:hRule="atLeast"/>
        </w:trPr>
        <w:tc>
          <w:tcPr>
            <w:tcW w:w="1361" w:type="dxa"/>
            <w:tcBorders>
              <w:top w:val="single" w:sz="2" w:space="0" w:color="000001"/>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Normal"/>
              <w:spacing w:lineRule="auto" w:line="360"/>
              <w:ind w:left="0" w:right="0" w:firstLine="708"/>
              <w:jc w:val="both"/>
              <w:rPr>
                <w:rFonts w:ascii="Verdana" w:hAnsi="Verdana"/>
                <w:sz w:val="22"/>
                <w:szCs w:val="22"/>
              </w:rPr>
            </w:pPr>
            <w:r>
              <w:rPr>
                <w:rFonts w:ascii="Verdana" w:hAnsi="Verdana"/>
                <w:sz w:val="22"/>
                <w:szCs w:val="22"/>
              </w:rPr>
              <w:t>A Prefeitura de Sorocaba, por meio da Secretaria de Mobilidade, Desenvolvimento Urbano e Obras, segue em várias frentes de trabalho, com as obras de construção da Arena Multiuso, localizada às margens da Rodovia Raposo Tavares, no km 106.</w:t>
            </w:r>
          </w:p>
          <w:p>
            <w:pPr>
              <w:pStyle w:val="Normal"/>
              <w:spacing w:lineRule="auto" w:line="360"/>
              <w:ind w:left="0" w:right="0" w:firstLine="708"/>
              <w:jc w:val="both"/>
              <w:rPr>
                <w:rFonts w:ascii="Verdana" w:hAnsi="Verdana"/>
                <w:sz w:val="22"/>
                <w:szCs w:val="22"/>
              </w:rPr>
            </w:pPr>
            <w:r>
              <w:rPr>
                <w:rFonts w:ascii="Verdana" w:hAnsi="Verdana"/>
                <w:sz w:val="22"/>
                <w:szCs w:val="22"/>
              </w:rPr>
              <w:t xml:space="preserve">Nesta terça-feira </w:t>
            </w:r>
            <w:r>
              <w:rPr>
                <w:rFonts w:ascii="Verdana" w:hAnsi="Verdana"/>
                <w:sz w:val="22"/>
                <w:szCs w:val="22"/>
              </w:rPr>
              <w:t>dia 0</w:t>
            </w:r>
            <w:r>
              <w:rPr>
                <w:rFonts w:ascii="Verdana" w:hAnsi="Verdana"/>
                <w:sz w:val="22"/>
                <w:szCs w:val="22"/>
              </w:rPr>
              <w:t>2, uma equipe caminhava em direção à finalização do teto, que está sendo fechado com telhas metálicas com enchimento em Poliuretano. Serão 5.000m² de área de cobertura. Externamente, já foram colocadas as placas de concreto já e instalados os suportes para que posteriormente sejam fixadas as venezianas e as telhas das laterais superiores.</w:t>
            </w:r>
          </w:p>
          <w:p>
            <w:pPr>
              <w:pStyle w:val="Normal"/>
              <w:spacing w:lineRule="auto" w:line="360"/>
              <w:ind w:left="0" w:right="0" w:firstLine="708"/>
              <w:jc w:val="both"/>
              <w:rPr>
                <w:rFonts w:ascii="Verdana" w:hAnsi="Verdana"/>
                <w:sz w:val="22"/>
                <w:szCs w:val="22"/>
              </w:rPr>
            </w:pPr>
            <w:r>
              <w:rPr>
                <w:rFonts w:ascii="Verdana" w:hAnsi="Verdana"/>
                <w:sz w:val="22"/>
                <w:szCs w:val="22"/>
              </w:rPr>
              <w:t xml:space="preserve">Segundo o  engenheiro Antônio Carlos Incau de Almeida, da Progredior, empresa responsável pela construção da Arena, após a conclusão do telhado têm início os preparativos para a concretagem do contra piso da quadra. </w:t>
            </w:r>
          </w:p>
          <w:p>
            <w:pPr>
              <w:pStyle w:val="Normal"/>
              <w:spacing w:lineRule="auto" w:line="360"/>
              <w:ind w:left="0" w:right="0" w:firstLine="708"/>
              <w:jc w:val="both"/>
              <w:rPr>
                <w:rFonts w:ascii="Verdana" w:hAnsi="Verdana"/>
                <w:sz w:val="22"/>
                <w:szCs w:val="22"/>
              </w:rPr>
            </w:pPr>
            <w:r>
              <w:rPr>
                <w:rFonts w:ascii="Verdana" w:hAnsi="Verdana"/>
                <w:sz w:val="22"/>
                <w:szCs w:val="22"/>
              </w:rPr>
              <w:t>Incau lembra ainda que nos últimos dias foram concretados pisos na parte interna, bem como colocado as janelas com vidro, na área administrativa. Outros serviços realizados paralelamente são às instalações elétricas e o acabamento com revestimento nos banheiros e vestiários que avançaram bastante nas últimas semanas.</w:t>
            </w:r>
          </w:p>
          <w:p>
            <w:pPr>
              <w:pStyle w:val="Normal"/>
              <w:spacing w:lineRule="auto" w:line="360"/>
              <w:ind w:left="0" w:right="0" w:firstLine="708"/>
              <w:jc w:val="both"/>
              <w:rPr>
                <w:rFonts w:ascii="Verdana" w:hAnsi="Verdana"/>
                <w:sz w:val="22"/>
                <w:szCs w:val="22"/>
              </w:rPr>
            </w:pPr>
            <w:r>
              <w:rPr>
                <w:rFonts w:ascii="Verdana" w:hAnsi="Verdana"/>
                <w:sz w:val="22"/>
                <w:szCs w:val="22"/>
              </w:rPr>
              <w:t xml:space="preserve">A Arena Multiúso terá capacidade para cerca de cinco mil pessoas e a obra tem seu valor estimado em R$ 16,7 milhões. </w:t>
            </w:r>
          </w:p>
          <w:p>
            <w:pPr>
              <w:pStyle w:val="Corpodetexto"/>
              <w:spacing w:before="0" w:after="0"/>
              <w:ind w:left="0" w:right="0" w:firstLine="567"/>
              <w:rPr>
                <w:rFonts w:ascii="Verdana" w:hAnsi="Verdana"/>
                <w:color w:val="000000"/>
                <w:sz w:val="24"/>
                <w:szCs w:val="24"/>
              </w:rPr>
            </w:pPr>
            <w:r>
              <w:rPr>
                <w:rFonts w:ascii="Verdana" w:hAnsi="Verdana"/>
                <w:color w:val="000000"/>
                <w:sz w:val="24"/>
                <w:szCs w:val="24"/>
              </w:rPr>
            </w:r>
          </w:p>
          <w:p>
            <w:pPr>
              <w:pStyle w:val="Corpodetexto"/>
              <w:spacing w:before="0" w:after="0"/>
              <w:ind w:left="0" w:right="0" w:firstLine="567"/>
              <w:rPr>
                <w:rFonts w:ascii="Verdana" w:hAnsi="Verdana"/>
                <w:color w:val="000000"/>
                <w:sz w:val="24"/>
                <w:szCs w:val="24"/>
              </w:rPr>
            </w:pPr>
            <w:r>
              <w:rPr>
                <w:rFonts w:ascii="Verdana" w:hAnsi="Verdana"/>
                <w:color w:val="000000"/>
                <w:sz w:val="24"/>
                <w:szCs w:val="24"/>
              </w:rPr>
            </w:r>
          </w:p>
          <w:p>
            <w:pPr>
              <w:pStyle w:val="Corpodetexto"/>
              <w:spacing w:before="0" w:after="0"/>
              <w:ind w:left="0" w:right="0" w:firstLine="567"/>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t>ANDRÉ REIS</w:t>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t>DOUGLAS VALLE</w:t>
            </w:r>
          </w:p>
          <w:p>
            <w:pPr>
              <w:pStyle w:val="Corpodetexto"/>
              <w:spacing w:before="0" w:after="0"/>
              <w:ind w:left="0" w:right="0" w:firstLine="567"/>
              <w:rPr>
                <w:rFonts w:ascii="Verdana" w:hAnsi="Verdana" w:cs="Verdana"/>
                <w:b/>
                <w:b/>
                <w:bCs/>
                <w:sz w:val="24"/>
                <w:szCs w:val="24"/>
              </w:rPr>
            </w:pPr>
            <w:r>
              <w:rPr>
                <w:rFonts w:cs="Verdana" w:ascii="Verdana" w:hAnsi="Verdana"/>
                <w:b/>
                <w:bCs/>
                <w:sz w:val="24"/>
                <w:szCs w:val="24"/>
              </w:rPr>
            </w:r>
          </w:p>
          <w:p>
            <w:pPr>
              <w:pStyle w:val="Corpodetexto"/>
              <w:spacing w:before="0" w:after="0"/>
              <w:rPr>
                <w:rFonts w:ascii="Verdana" w:hAnsi="Verdana" w:cs="Verdana"/>
                <w:b/>
                <w:b/>
                <w:bCs/>
                <w:sz w:val="24"/>
                <w:szCs w:val="24"/>
              </w:rPr>
            </w:pPr>
            <w:r>
              <w:rPr>
                <w:rFonts w:cs="Verdana" w:ascii="Verdana" w:hAnsi="Verdana"/>
                <w:b/>
                <w:bCs/>
                <w:sz w:val="24"/>
                <w:szCs w:val="24"/>
              </w:rPr>
            </w:r>
          </w:p>
          <w:p>
            <w:pPr>
              <w:pStyle w:val="Ecxwestern"/>
              <w:shd w:val="clear" w:fill="FFFFFF"/>
              <w:spacing w:before="0" w:after="0"/>
              <w:ind w:left="0" w:right="0" w:hanging="0"/>
              <w:jc w:val="both"/>
              <w:rPr>
                <w:rFonts w:ascii="Verdana" w:hAnsi="Verdana" w:cs="Verdana"/>
                <w:b/>
                <w:b/>
                <w:bCs/>
                <w:sz w:val="20"/>
                <w:szCs w:val="20"/>
              </w:rPr>
            </w:pPr>
            <w:r>
              <w:rPr>
                <w:rFonts w:cs="Verdana" w:ascii="Verdana" w:hAnsi="Verdana"/>
                <w:b/>
                <w:bCs/>
                <w:sz w:val="20"/>
                <w:szCs w:val="20"/>
              </w:rPr>
            </w:r>
          </w:p>
          <w:p>
            <w:pPr>
              <w:pStyle w:val="Ecxwestern"/>
              <w:shd w:val="clear" w:fill="FFFFFF"/>
              <w:spacing w:before="0" w:after="0"/>
              <w:ind w:left="0" w:right="0" w:hanging="0"/>
              <w:jc w:val="both"/>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spacing w:lineRule="auto" w:line="276"/>
      </w:pPr>
    </w:pPrDefault>
  </w:docDefaults>
  <w:style w:type="paragraph" w:styleId="Normal">
    <w:name w:val="Normal"/>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134</TotalTime>
  <Application>LibreOffice/5.0.4.2$Windows_x86 LibreOffice_project/2b9802c1994aa0b7dc6079e128979269cf95bc78</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2016-01-27T11:33:05Z</cp:lastPrinted>
  <dcterms:modified xsi:type="dcterms:W3CDTF">2016-02-02T15:33:42Z</dcterms:modified>
  <cp:revision>22</cp:revision>
</cp:coreProperties>
</file>