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LAUDA: 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09" w:type="dxa"/>
        <w:jc w:val="left"/>
        <w:tblInd w:w="-1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240"/>
        <w:gridCol w:w="8668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Padro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Sorocaba receberá a tocha olímpica no segundo dia em solo paulista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Padro"/>
              <w:snapToGrid w:val="false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</w:rPr>
              <w:t xml:space="preserve">Sorocaba foi uma das escolhidas entre as trezentas cidades do Brasil que receberão a passagem do maior símbolo olímpico pelo seu perímetro, além dos oitenta e dois municípios onde a tocha fará o pernoite. </w:t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Ao todo, a chama será carregada por mais de doze mil condutores, percorrendo vinte mil quilômetros por terra e água, e voando dez mil milhas pelo país. </w:t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O objetivo do revezamento é atingir o maior número possível de pessoas, criando um sentimento de pertencimento entre o povo brasileiro e fazer disso um meio para contar histórias do Brasil. </w:t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Em Sorocaba, a tocha olímpica passará no dia 17 de julho e serão cerca de doze quilômetros de trajeto, obedecendo critérios como público, deslocamento do comboio e aspectos históricos. </w:t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O passeio acontece já no segundo dia da tocha em território paulista.</w:t>
            </w:r>
          </w:p>
          <w:p>
            <w:pPr>
              <w:pStyle w:val="Padro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Além de Sorocaba Tatuí, Botucatu, Lençóis Paulista e Bauru vão receber o simbolo dos jogos.</w:t>
            </w:r>
          </w:p>
          <w:p>
            <w:pPr>
              <w:pStyle w:val="Padro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Verdana" w:cs="Verdana"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</w:rPr>
              <w:t xml:space="preserve">A seleção dos condutores foi feita por meio dos programas de nomeação pública em todas as cidades do revezamento, além das campanhas dos patrocinadores oficiais do revezamento – Coca Cola, Nissan e Bradesco. </w:t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</w:rPr>
              <w:t>conCada condutor carregará a chama dos jogos por aproximadamente 200 metros.</w:t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  <w:t>TEXTO: ROBERTO MENA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  <w:b/>
                <w:bCs/>
              </w:rPr>
              <w:t xml:space="preserve">ÁUDIO: DOUGLAS VALLE –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pPr>
      <w:widowControl w:val="false"/>
      <w:spacing w:before="240" w:after="120"/>
      <w:outlineLvl w:val="0"/>
    </w:pPr>
    <w:rPr>
      <w:rFonts w:ascii="Liberation Serif" w:hAnsi="Liberation Serif" w:eastAsia="SimSun" w:cs="Mangal"/>
      <w:b/>
      <w:bCs/>
      <w:color w:val="auto"/>
      <w:sz w:val="36"/>
      <w:szCs w:val="36"/>
      <w:lang w:val="pt-BR" w:eastAsia="zh-CN" w:bidi="hi-IN"/>
    </w:rPr>
  </w:style>
  <w:style w:type="paragraph" w:styleId="Ttulo2">
    <w:name w:val="Título 2"/>
    <w:pPr>
      <w:widowControl w:val="false"/>
      <w:spacing w:before="200" w:after="120"/>
      <w:outlineLvl w:val="1"/>
    </w:pPr>
    <w:rPr>
      <w:rFonts w:ascii="Liberation Serif" w:hAnsi="Liberation Serif" w:eastAsia="SimSun" w:cs="Mangal"/>
      <w:b/>
      <w:bCs/>
      <w:color w:val="auto"/>
      <w:sz w:val="32"/>
      <w:szCs w:val="32"/>
      <w:lang w:val="pt-BR" w:eastAsia="zh-CN" w:bidi="hi-IN"/>
    </w:rPr>
  </w:style>
  <w:style w:type="paragraph" w:styleId="Ttulo3">
    <w:name w:val="Título 3"/>
    <w:pPr>
      <w:widowControl w:val="false"/>
      <w:spacing w:before="140" w:after="120"/>
      <w:outlineLvl w:val="2"/>
    </w:pPr>
    <w:rPr>
      <w:rFonts w:ascii="Liberation Serif" w:hAnsi="Liberation Serif" w:eastAsia="SimSun" w:cs="Mangal"/>
      <w:b/>
      <w:bCs/>
      <w:color w:val="auto"/>
      <w:sz w:val="28"/>
      <w:szCs w:val="28"/>
      <w:lang w:val="pt-BR" w:eastAsia="zh-CN" w:bidi="hi-IN"/>
    </w:rPr>
  </w:style>
  <w:style w:type="paragraph" w:styleId="Ttulo4">
    <w:name w:val="Título 4"/>
    <w:pPr>
      <w:widowControl w:val="false"/>
      <w:outlineLvl w:val="3"/>
    </w:pPr>
    <w:rPr>
      <w:rFonts w:ascii="Times New Roman" w:hAnsi="Times New Roman" w:eastAsia="SimSun;宋体" w:cs="Tahoma"/>
      <w:b/>
      <w:bCs/>
      <w:color w:val="auto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2016-01-26T17:01:57Z</dcterms:modified>
  <cp:revision>5</cp:revision>
</cp:coreProperties>
</file>